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5066" w:type="pct"/>
        <w:tblBorders/>
        <w:tblLook w:val="01E0" w:firstRow="1" w:lastRow="1" w:firstColumn="1" w:lastColumn="1" w:noHBand="0" w:noVBand="0"/>
      </w:tblPr>
      <w:tblGrid>
        <w:gridCol w:w="3544"/>
        <w:gridCol w:w="5648"/>
      </w:tblGrid>
      <w:tr>
        <w:trPr>
          <w:trHeight w:val="730"/>
        </w:trPr>
        <w:tc>
          <w:tcPr>
            <w:tcBorders/>
            <w:tcW w:w="1928" w:type="pct"/>
            <w:textDirection w:val="lrTb"/>
            <w:noWrap w:val="false"/>
          </w:tcPr>
          <w:p>
            <w:pPr>
              <w:widowControl w:val="false"/>
              <w:pBdr/>
              <w:spacing/>
              <w:ind/>
              <w:jc w:val="center"/>
              <w:rPr>
                <w:b/>
                <w:sz w:val="26"/>
                <w:szCs w:val="26"/>
              </w:rPr>
            </w:pPr>
            <w:r>
              <w:rPr>
                <w:b/>
                <w:sz w:val="26"/>
                <w:szCs w:val="26"/>
              </w:rPr>
              <w:t xml:space="preserve">ỦY BAN NHÂN DÂN </w:t>
            </w:r>
            <w:r>
              <w:rPr>
                <w:b/>
                <w:sz w:val="26"/>
                <w:szCs w:val="26"/>
              </w:rPr>
            </w:r>
          </w:p>
          <w:p>
            <w:pPr>
              <w:widowControl w:val="false"/>
              <w:pBdr/>
              <w:spacing/>
              <w:ind/>
              <w:jc w:val="center"/>
              <w:rPr>
                <w:b/>
                <w:sz w:val="26"/>
                <w:szCs w:val="26"/>
              </w:rPr>
            </w:pPr>
            <w:r>
              <w:rPr>
                <w:b/>
                <w:sz w:val="26"/>
                <w:szCs w:val="26"/>
              </w:rPr>
              <w:t xml:space="preserve">TỈNH </w:t>
            </w:r>
            <w:r>
              <w:rPr>
                <w:b/>
                <w:sz w:val="26"/>
                <w:szCs w:val="26"/>
              </w:rPr>
              <w:t xml:space="preserve">TÂY NINH</w:t>
            </w:r>
            <w:r>
              <w:rPr>
                <w:b/>
                <w:sz w:val="26"/>
                <w:szCs w:val="26"/>
              </w:rPr>
            </w:r>
          </w:p>
          <w:p>
            <w:pPr>
              <w:widowControl w:val="false"/>
              <w:pBdr/>
              <w:spacing/>
              <w:ind/>
              <w:jc w:val="center"/>
              <w:rPr>
                <w:b/>
                <w:sz w:val="24"/>
                <w:szCs w:val="24"/>
                <w:vertAlign w:val="superscript"/>
              </w:rPr>
            </w:pPr>
            <w:r>
              <w:rPr>
                <w:b/>
                <w:sz w:val="24"/>
                <w:szCs w:val="24"/>
                <w:vertAlign w:val="superscript"/>
              </w:rPr>
              <w:t xml:space="preserve">_____________</w:t>
            </w:r>
            <w:r>
              <w:rPr>
                <w:b/>
                <w:sz w:val="24"/>
                <w:szCs w:val="24"/>
                <w:vertAlign w:val="superscript"/>
              </w:rPr>
            </w:r>
          </w:p>
        </w:tc>
        <w:tc>
          <w:tcPr>
            <w:tcBorders/>
            <w:tcW w:w="3072" w:type="pct"/>
            <w:textDirection w:val="lrTb"/>
            <w:noWrap w:val="false"/>
          </w:tcPr>
          <w:p>
            <w:pPr>
              <w:widowControl w:val="false"/>
              <w:pBdr/>
              <w:spacing/>
              <w:ind/>
              <w:jc w:val="center"/>
              <w:rPr>
                <w:sz w:val="26"/>
                <w:szCs w:val="26"/>
              </w:rPr>
            </w:pPr>
            <w:r>
              <w:rPr>
                <w:b/>
                <w:sz w:val="26"/>
                <w:szCs w:val="26"/>
              </w:rPr>
              <w:t xml:space="preserve">CỘNG HÒA XÃ HỘI CHỦ NGHĨA VIỆT NAM</w:t>
            </w:r>
            <w:r>
              <w:rPr>
                <w:b/>
                <w:sz w:val="26"/>
                <w:szCs w:val="26"/>
              </w:rPr>
              <w:br/>
            </w:r>
            <w:r>
              <w:rPr>
                <w:b/>
              </w:rPr>
              <w:t xml:space="preserve">Độc lập - Tự do - Hạnh phúc</w:t>
            </w:r>
            <w:r>
              <w:rPr>
                <w:b/>
                <w:sz w:val="26"/>
                <w:szCs w:val="26"/>
              </w:rPr>
              <w:t xml:space="preserve"> </w:t>
            </w:r>
            <w:r>
              <w:rPr>
                <w:sz w:val="26"/>
                <w:szCs w:val="26"/>
              </w:rPr>
            </w:r>
          </w:p>
          <w:p>
            <w:pPr>
              <w:widowControl w:val="false"/>
              <w:pBdr/>
              <w:spacing/>
              <w:ind/>
              <w:jc w:val="center"/>
              <w:rPr>
                <w:b/>
                <w:i/>
                <w:sz w:val="24"/>
                <w:szCs w:val="24"/>
                <w:vertAlign w:val="superscript"/>
              </w:rPr>
            </w:pPr>
            <w:r>
              <w:rPr>
                <w:b/>
                <w:i/>
                <w:sz w:val="24"/>
                <w:szCs w:val="24"/>
                <w:vertAlign w:val="superscript"/>
              </w:rPr>
              <w:t xml:space="preserve">___________________________________________</w:t>
            </w:r>
            <w:r>
              <w:rPr>
                <w:b/>
                <w:i/>
                <w:sz w:val="24"/>
                <w:szCs w:val="24"/>
                <w:vertAlign w:val="superscript"/>
              </w:rPr>
            </w:r>
          </w:p>
        </w:tc>
      </w:tr>
      <w:tr>
        <w:trPr>
          <w:trHeight w:val="359"/>
        </w:trPr>
        <w:tc>
          <w:tcPr>
            <w:tcBorders/>
            <w:tcW w:w="1928" w:type="pct"/>
            <w:vAlign w:val="center"/>
            <w:textDirection w:val="lrTb"/>
            <w:noWrap w:val="false"/>
          </w:tcPr>
          <w:p>
            <w:pPr>
              <w:widowControl w:val="false"/>
              <w:pBdr/>
              <w:spacing/>
              <w:ind/>
              <w:jc w:val="center"/>
              <w:rPr>
                <w:b/>
                <w:sz w:val="26"/>
                <w:szCs w:val="26"/>
              </w:rPr>
            </w:pPr>
            <w:r>
              <w:rPr>
                <w:sz w:val="26"/>
                <w:szCs w:val="26"/>
              </w:rPr>
              <w:t xml:space="preserve">Số: </w:t>
            </w:r>
            <w:r>
              <w:rPr>
                <w:sz w:val="26"/>
                <w:szCs w:val="26"/>
              </w:rPr>
              <w:t xml:space="preserve">       </w:t>
            </w:r>
            <w:r>
              <w:rPr>
                <w:sz w:val="26"/>
                <w:szCs w:val="26"/>
              </w:rPr>
              <w:t xml:space="preserve"> /202</w:t>
            </w:r>
            <w:r>
              <w:rPr>
                <w:sz w:val="26"/>
                <w:szCs w:val="26"/>
              </w:rPr>
              <w:t xml:space="preserve">6</w:t>
            </w:r>
            <w:r>
              <w:rPr>
                <w:sz w:val="26"/>
                <w:szCs w:val="26"/>
              </w:rPr>
              <w:t xml:space="preserve">/QĐ-UBND</w:t>
            </w:r>
            <w:r>
              <w:rPr>
                <w:b/>
                <w:sz w:val="26"/>
                <w:szCs w:val="26"/>
              </w:rPr>
            </w:r>
          </w:p>
        </w:tc>
        <w:tc>
          <w:tcPr>
            <w:tcBorders/>
            <w:tcW w:w="3072" w:type="pct"/>
            <w:vAlign w:val="center"/>
            <w:textDirection w:val="lrTb"/>
            <w:noWrap w:val="false"/>
          </w:tcPr>
          <w:p>
            <w:pPr>
              <w:widowControl w:val="false"/>
              <w:pBdr/>
              <w:spacing/>
              <w:ind/>
              <w:jc w:val="center"/>
              <w:rPr>
                <w:b/>
              </w:rPr>
            </w:pPr>
            <w:r>
              <w:rPr>
                <w:i/>
              </w:rPr>
              <w:t xml:space="preserve">Tây Ninh</w:t>
            </w:r>
            <w:r>
              <w:rPr>
                <w:i/>
              </w:rPr>
              <w:t xml:space="preserve">, ngày</w:t>
            </w:r>
            <w:r>
              <w:rPr>
                <w:i/>
              </w:rPr>
              <w:t xml:space="preserve">   </w:t>
            </w:r>
            <w:r>
              <w:rPr>
                <w:i/>
              </w:rPr>
              <w:t xml:space="preserve">  tháng </w:t>
            </w:r>
            <w:r>
              <w:rPr>
                <w:i/>
              </w:rPr>
              <w:t xml:space="preserve">  </w:t>
            </w:r>
            <w:r>
              <w:rPr>
                <w:i/>
              </w:rPr>
              <w:t xml:space="preserve"> năm 202</w:t>
            </w:r>
            <w:r>
              <w:rPr>
                <w:i/>
              </w:rPr>
              <w:t xml:space="preserve">6</w:t>
            </w:r>
            <w:r>
              <w:rPr>
                <w:b/>
              </w:rPr>
            </w:r>
          </w:p>
        </w:tc>
      </w:tr>
    </w:tbl>
    <w:p>
      <w:pPr>
        <w:widowControl w:val="false"/>
        <w:pBdr/>
        <w:tabs>
          <w:tab w:val="right" w:leader="dot" w:pos="8640"/>
        </w:tabs>
        <w:spacing/>
        <w:ind/>
        <w:jc w:val="center"/>
        <w:rPr>
          <w:b/>
        </w:rPr>
      </w:pPr>
      <w:r>
        <w:rPr>
          <w:b/>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491490</wp:posOffset>
                </wp:positionH>
                <wp:positionV relativeFrom="paragraph">
                  <wp:posOffset>53975</wp:posOffset>
                </wp:positionV>
                <wp:extent cx="1057275" cy="314325"/>
                <wp:effectExtent l="0" t="0" r="28575" b="28575"/>
                <wp:wrapNone/>
                <wp:docPr id="1" name="Text Box 1"/>
                <wp:cNvGraphicFramePr/>
                <a:graphic xmlns:a="http://schemas.openxmlformats.org/drawingml/2006/main">
                  <a:graphicData uri="http://schemas.microsoft.com/office/word/2010/wordprocessingShape">
                    <wps:wsp>
                      <wps:cNvPr id="0" name=""/>
                      <wps:cNvSpPr txBox="1"/>
                      <wps:spPr bwMode="auto">
                        <a:xfrm>
                          <a:off x="0" y="0"/>
                          <a:ext cx="1057275" cy="314325"/>
                        </a:xfrm>
                        <a:prstGeom prst="rect">
                          <a:avLst/>
                        </a:prstGeom>
                        <a:solidFill>
                          <a:schemeClr val="lt1"/>
                        </a:solidFill>
                        <a:ln w="6350">
                          <a:solidFill>
                            <a:prstClr val="black"/>
                          </a:solidFill>
                        </a:ln>
                      </wps:spPr>
                      <wps:txbx>
                        <w:txbxContent>
                          <w:p>
                            <w:pPr>
                              <w:pBdr/>
                              <w:spacing/>
                              <w:ind/>
                              <w:rPr/>
                            </w:pPr>
                            <w:r>
                              <w:t xml:space="preserve">DỰ THẢO</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0" o:spid="_x0000_s0" o:spt="202" type="#_x0000_t202" style="position:absolute;z-index:251659264;o:allowoverlap:true;o:allowincell:true;mso-position-horizontal-relative:text;margin-left:38.70pt;mso-position-horizontal:absolute;mso-position-vertical-relative:text;margin-top:4.25pt;mso-position-vertical:absolute;width:83.25pt;height:24.75pt;mso-wrap-distance-left:9.00pt;mso-wrap-distance-top:0.00pt;mso-wrap-distance-right:9.00pt;mso-wrap-distance-bottom:0.00pt;v-text-anchor:top;visibility:visible;" fillcolor="#FFFFFF" strokecolor="#000000" strokeweight="0.50pt">
                <v:textbox inset="0,0,0,0">
                  <w:txbxContent>
                    <w:p>
                      <w:pPr>
                        <w:pBdr/>
                        <w:spacing/>
                        <w:ind/>
                        <w:rPr/>
                      </w:pPr>
                      <w:r>
                        <w:t xml:space="preserve">DỰ THẢO</w:t>
                      </w:r>
                      <w:r/>
                    </w:p>
                  </w:txbxContent>
                </v:textbox>
              </v:shape>
            </w:pict>
          </mc:Fallback>
        </mc:AlternateContent>
      </w:r>
      <w:r>
        <w:rPr>
          <w:b/>
        </w:rPr>
      </w:r>
    </w:p>
    <w:p>
      <w:pPr>
        <w:widowControl w:val="false"/>
        <w:pBdr/>
        <w:tabs>
          <w:tab w:val="right" w:leader="dot" w:pos="8640"/>
        </w:tabs>
        <w:spacing/>
        <w:ind/>
        <w:jc w:val="center"/>
        <w:rPr>
          <w:b/>
        </w:rPr>
      </w:pPr>
      <w:r>
        <w:rPr>
          <w:b/>
        </w:rPr>
        <w:t xml:space="preserve">QUYẾT ĐỊNH</w:t>
      </w:r>
      <w:r>
        <w:rPr>
          <w:b/>
        </w:rPr>
      </w:r>
    </w:p>
    <w:p>
      <w:pPr>
        <w:widowControl w:val="false"/>
        <w:pBdr/>
        <w:tabs>
          <w:tab w:val="right" w:leader="dot" w:pos="8640"/>
        </w:tabs>
        <w:spacing w:after="240"/>
        <w:ind/>
        <w:jc w:val="center"/>
        <w:rPr>
          <w:b/>
        </w:rPr>
      </w:pPr>
      <w:r>
        <w:rPr>
          <w:b/>
        </w:rPr>
        <w:t xml:space="preserve">Quy định về dạy thêm, học thêm trên địa bàn tỉnh </w:t>
      </w:r>
      <w:r>
        <w:rPr>
          <w:b/>
        </w:rPr>
        <w:t xml:space="preserve">Tây Ninh</w:t>
      </w:r>
      <w:r>
        <w:rPr>
          <w:b/>
        </w:rPr>
      </w:r>
    </w:p>
    <w:p>
      <w:pPr>
        <w:pBdr/>
        <w:spacing w:line="252" w:lineRule="auto"/>
        <w:ind w:firstLine="709"/>
        <w:jc w:val="both"/>
        <w:rPr>
          <w:i/>
          <w:iCs/>
        </w:rPr>
      </w:pPr>
      <w:r>
        <w:rPr>
          <w:rFonts w:eastAsia="Calibri" w:cs="Calibri"/>
          <w:i/>
          <w:iCs/>
        </w:rPr>
        <w:t xml:space="preserve">Căn cứ Luật Tổ chức chính quyền địa phương số 72/2025/QH15</w:t>
      </w:r>
      <w:r>
        <w:rPr>
          <w:i/>
          <w:iCs/>
        </w:rPr>
        <w:t xml:space="preserve">;</w:t>
      </w:r>
      <w:r>
        <w:rPr>
          <w:i/>
          <w:iCs/>
        </w:rPr>
      </w:r>
    </w:p>
    <w:p>
      <w:pPr>
        <w:pBdr/>
        <w:spacing w:line="252" w:lineRule="auto"/>
        <w:ind w:right="-11" w:firstLine="709"/>
        <w:jc w:val="both"/>
        <w:rPr>
          <w:bCs/>
          <w:i/>
          <w:iCs/>
        </w:rPr>
      </w:pPr>
      <w:r>
        <w:rPr>
          <w:i/>
          <w:lang w:val="nb-NO"/>
        </w:rPr>
        <w:t xml:space="preserve">Căn cứ Luật Giáo dục số 43/2019/QH14 </w:t>
      </w:r>
      <w:r>
        <w:rPr>
          <w:i/>
          <w:lang w:val="vi-VN"/>
        </w:rPr>
        <w:t xml:space="preserve">được sửa đổi, bổ sung bởi Luật số</w:t>
      </w:r>
      <w:r>
        <w:rPr>
          <w:i/>
          <w:lang w:val="nb-NO"/>
        </w:rPr>
        <w:t xml:space="preserve"> 123/2025/QH15;</w:t>
      </w:r>
      <w:r>
        <w:rPr>
          <w:bCs/>
          <w:i/>
          <w:iCs/>
        </w:rPr>
      </w:r>
    </w:p>
    <w:p>
      <w:pPr>
        <w:pBdr/>
        <w:spacing w:line="252" w:lineRule="auto"/>
        <w:ind w:firstLine="709"/>
        <w:jc w:val="both"/>
        <w:rPr>
          <w:i/>
          <w:iCs/>
        </w:rPr>
      </w:pPr>
      <w:r>
        <w:rPr>
          <w:i/>
          <w:iCs/>
        </w:rPr>
        <w:t xml:space="preserve">Căn cứ Luật Nhà giáo số 73/2025/QH15;</w:t>
      </w:r>
      <w:r>
        <w:rPr>
          <w:i/>
          <w:iCs/>
        </w:rPr>
      </w:r>
    </w:p>
    <w:p>
      <w:pPr>
        <w:pBdr/>
        <w:spacing w:line="252" w:lineRule="auto"/>
        <w:ind w:firstLine="709"/>
        <w:jc w:val="both"/>
        <w:rPr>
          <w:i/>
          <w:iCs/>
        </w:rPr>
      </w:pPr>
      <w:r>
        <w:rPr>
          <w:i/>
          <w:iCs/>
        </w:rPr>
        <w:t xml:space="preserve">Căn cứ Luật Ngân sách nhà nước </w:t>
      </w:r>
      <w:r>
        <w:rPr>
          <w:i/>
          <w:iCs/>
        </w:rPr>
        <w:t xml:space="preserve">số 89/2025/QH15</w:t>
      </w:r>
      <w:r>
        <w:rPr>
          <w:i/>
          <w:iCs/>
        </w:rPr>
        <w:t xml:space="preserve">; </w:t>
      </w:r>
      <w:r>
        <w:rPr>
          <w:i/>
          <w:iCs/>
        </w:rPr>
      </w:r>
    </w:p>
    <w:p>
      <w:pPr>
        <w:pBdr/>
        <w:spacing w:line="252" w:lineRule="auto"/>
        <w:ind w:right="-11" w:firstLine="709"/>
        <w:jc w:val="both"/>
        <w:rPr>
          <w:i/>
          <w:iCs/>
        </w:rPr>
      </w:pPr>
      <w:r>
        <w:rPr>
          <w:i/>
          <w:iCs/>
        </w:rPr>
        <w:t xml:space="preserve">Căn cứ Luật số 56/2024/</w:t>
      </w:r>
      <w:r>
        <w:rPr>
          <w:i/>
          <w:iCs/>
        </w:rPr>
        <w:t xml:space="preserve">QH15 về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Pr>
          <w:i/>
          <w:iCs/>
        </w:rPr>
        <w:t xml:space="preserve">;</w:t>
      </w:r>
      <w:r>
        <w:rPr>
          <w:i/>
          <w:iCs/>
        </w:rPr>
      </w:r>
    </w:p>
    <w:p>
      <w:pPr>
        <w:pBdr/>
        <w:spacing w:line="252" w:lineRule="auto"/>
        <w:ind w:right="-11" w:firstLine="709"/>
        <w:jc w:val="both"/>
        <w:rPr>
          <w:bCs/>
          <w:i/>
          <w:iCs/>
        </w:rPr>
      </w:pPr>
      <w:r>
        <w:rPr>
          <w:i/>
          <w:iCs/>
        </w:rPr>
        <w:t xml:space="preserve">Căn cứ Luật sửa đổi bổ sung một số điều của Luật xử lý vi phạm hành chính</w:t>
      </w:r>
      <w:r>
        <w:rPr>
          <w:i/>
          <w:iCs/>
        </w:rPr>
        <w:t xml:space="preserve"> </w:t>
      </w:r>
      <w:r>
        <w:rPr>
          <w:i/>
          <w:iCs/>
        </w:rPr>
        <w:t xml:space="preserve">số 88/2025/QH15</w:t>
      </w:r>
      <w:r>
        <w:rPr>
          <w:i/>
          <w:iCs/>
        </w:rPr>
        <w:t xml:space="preserve">;</w:t>
      </w:r>
      <w:r>
        <w:rPr>
          <w:bCs/>
          <w:i/>
          <w:iCs/>
        </w:rPr>
      </w:r>
    </w:p>
    <w:p>
      <w:pPr>
        <w:widowControl w:val="false"/>
        <w:pBdr/>
        <w:tabs>
          <w:tab w:val="right" w:leader="dot" w:pos="9324"/>
        </w:tabs>
        <w:spacing w:line="252" w:lineRule="auto"/>
        <w:ind w:firstLine="709"/>
        <w:jc w:val="both"/>
        <w:rPr>
          <w:i/>
          <w:iCs/>
          <w:spacing w:val="6"/>
        </w:rPr>
      </w:pPr>
      <w:r>
        <w:rPr>
          <w:i/>
          <w:iCs/>
          <w:spacing w:val="6"/>
        </w:rPr>
        <w:t xml:space="preserve">Căn cứ Nghị định số </w:t>
      </w:r>
      <w:r>
        <w:rPr>
          <w:i/>
          <w:iCs/>
          <w:spacing w:val="6"/>
        </w:rPr>
        <w:t xml:space="preserve">142/2025/NĐ-CP ngày 12/6/2025 của Chính phủ quy định về phân định thẩm quyền của chính quyền địa phương hai cấp trong lĩnh vực quản lý nhà nước của Bộ Giáo dục và Đào tạo</w:t>
      </w:r>
      <w:r>
        <w:rPr>
          <w:i/>
          <w:iCs/>
          <w:spacing w:val="6"/>
        </w:rPr>
        <w:t xml:space="preserve">;</w:t>
      </w:r>
      <w:r>
        <w:rPr>
          <w:i/>
          <w:iCs/>
          <w:spacing w:val="6"/>
        </w:rPr>
      </w:r>
    </w:p>
    <w:p>
      <w:pPr>
        <w:widowControl w:val="false"/>
        <w:pBdr/>
        <w:tabs>
          <w:tab w:val="right" w:leader="dot" w:pos="9324"/>
        </w:tabs>
        <w:spacing w:line="252" w:lineRule="auto"/>
        <w:ind w:firstLine="709"/>
        <w:jc w:val="both"/>
        <w:rPr>
          <w:i/>
          <w:iCs/>
          <w:spacing w:val="6"/>
        </w:rPr>
      </w:pPr>
      <w:r>
        <w:rPr>
          <w:i/>
          <w:iCs/>
          <w:spacing w:val="6"/>
        </w:rPr>
        <w:t xml:space="preserve">Căn cứ Nghị định số 04/2021/NĐ-CP ngày 22/01/2021 của Chính phủ quy định xử phạt vi phạm hành chính trong lĩnh vực giáo dục; </w:t>
      </w:r>
      <w:r>
        <w:rPr>
          <w:i/>
          <w:iCs/>
          <w:spacing w:val="6"/>
        </w:rPr>
      </w:r>
    </w:p>
    <w:p>
      <w:pPr>
        <w:widowControl w:val="false"/>
        <w:pBdr/>
        <w:tabs>
          <w:tab w:val="right" w:leader="dot" w:pos="9324"/>
        </w:tabs>
        <w:spacing w:line="252" w:lineRule="auto"/>
        <w:ind w:firstLine="709"/>
        <w:jc w:val="both"/>
        <w:rPr>
          <w:i/>
          <w:iCs/>
        </w:rPr>
      </w:pPr>
      <w:r>
        <w:rPr>
          <w:i/>
          <w:iCs/>
        </w:rPr>
        <w:t xml:space="preserve">Căn cứ Nghị định số 127/2021/NĐ-CP ngày 30/12/2021 của Chính phủ sửa đổi, bổ sung một số điều của Nghị định số 04/2021/NĐ-CP ngày 22/01/2021 của Chính phủ quy định về xử phạt vi phạm hành chính trong lĩnh vực giáo dục;</w:t>
      </w:r>
      <w:r>
        <w:rPr>
          <w:i/>
          <w:iCs/>
        </w:rPr>
      </w:r>
    </w:p>
    <w:p>
      <w:pPr>
        <w:widowControl w:val="false"/>
        <w:pBdr/>
        <w:tabs>
          <w:tab w:val="right" w:leader="dot" w:pos="9324"/>
        </w:tabs>
        <w:spacing w:line="252" w:lineRule="auto"/>
        <w:ind w:firstLine="709"/>
        <w:jc w:val="both"/>
        <w:rPr>
          <w:i/>
          <w:iCs/>
        </w:rPr>
      </w:pPr>
      <w:r>
        <w:rPr>
          <w:i/>
          <w:iCs/>
        </w:rPr>
        <w:t xml:space="preserve">Căn cứ Thông tư số 29/2024/TT-BGDĐT ngày 30/12/2024 của Bộ trưởng Bộ Giáo dục và Đào tạo quy định về dạy thêm, học thêm;</w:t>
      </w:r>
      <w:r>
        <w:rPr>
          <w:i/>
          <w:iCs/>
        </w:rPr>
      </w:r>
    </w:p>
    <w:p>
      <w:pPr>
        <w:widowControl w:val="false"/>
        <w:pBdr/>
        <w:tabs>
          <w:tab w:val="right" w:leader="dot" w:pos="9324"/>
        </w:tabs>
        <w:spacing w:line="252" w:lineRule="auto"/>
        <w:ind w:firstLine="709"/>
        <w:jc w:val="both"/>
        <w:rPr>
          <w:i/>
          <w:iCs/>
        </w:rPr>
      </w:pPr>
      <w:r>
        <w:rPr>
          <w:i/>
          <w:iCs/>
        </w:rPr>
        <w:t xml:space="preserve">Căn cứ Thông tư số 19/2026/TT-BGDĐT ngày 31/03/2026 của </w:t>
      </w:r>
      <w:r>
        <w:rPr>
          <w:i/>
          <w:iCs/>
        </w:rPr>
        <w:t xml:space="preserve">Bộ trưởng Bộ Giáo dục và Đào tạo sửa đổi, bổ sung một số điều của Thông tư số 29/2024/TT-BGDĐT ngày 30/12/2024 của Bộ trưởng Bộ Giáo dục và Đào tạo quy định về dạy thêm, học thêm;</w:t>
      </w:r>
      <w:r>
        <w:rPr>
          <w:i/>
          <w:iCs/>
        </w:rPr>
      </w:r>
    </w:p>
    <w:p>
      <w:pPr>
        <w:pBdr/>
        <w:spacing/>
        <w:ind w:firstLine="709"/>
        <w:jc w:val="both"/>
        <w:rPr>
          <w:rFonts w:eastAsia="Calibri" w:cs="Calibri"/>
          <w:i/>
          <w:iCs/>
        </w:rPr>
      </w:pPr>
      <w:r>
        <w:rPr>
          <w:i/>
          <w:iCs/>
        </w:rPr>
        <w:tab/>
      </w:r>
      <w:r>
        <w:rPr>
          <w:rFonts w:eastAsia="Calibri" w:cs="Calibri"/>
          <w:i/>
          <w:iCs/>
        </w:rPr>
        <w:t xml:space="preserve">Theo đề nghị của </w:t>
      </w:r>
      <w:r>
        <w:rPr>
          <w:rFonts w:eastAsia="Calibri" w:cs="Calibri"/>
          <w:i/>
          <w:iCs/>
        </w:rPr>
        <w:t xml:space="preserve">Giám đốc </w:t>
      </w:r>
      <w:r>
        <w:rPr>
          <w:rFonts w:eastAsia="Calibri" w:cs="Calibri"/>
          <w:i/>
          <w:iCs/>
        </w:rPr>
        <w:t xml:space="preserve">Sở Giáo dục và Đào tạo tại Tờ trình số…../TTr-SGDĐT ngày…</w:t>
      </w:r>
      <w:r>
        <w:rPr>
          <w:rFonts w:eastAsia="Calibri" w:cs="Calibri"/>
          <w:i/>
          <w:iCs/>
        </w:rPr>
        <w:t xml:space="preserve">/</w:t>
      </w:r>
      <w:r>
        <w:rPr>
          <w:rFonts w:eastAsia="Calibri" w:cs="Calibri"/>
          <w:i/>
          <w:iCs/>
        </w:rPr>
        <w:t xml:space="preserve">…</w:t>
      </w:r>
      <w:r>
        <w:rPr>
          <w:rFonts w:eastAsia="Calibri" w:cs="Calibri"/>
          <w:i/>
          <w:iCs/>
        </w:rPr>
        <w:t xml:space="preserve">/</w:t>
      </w:r>
      <w:r>
        <w:rPr>
          <w:rFonts w:eastAsia="Calibri" w:cs="Calibri"/>
          <w:i/>
          <w:iCs/>
        </w:rPr>
        <w:t xml:space="preserve">202</w:t>
      </w:r>
      <w:r>
        <w:rPr>
          <w:rFonts w:eastAsia="Calibri" w:cs="Calibri"/>
          <w:i/>
          <w:iCs/>
        </w:rPr>
        <w:t xml:space="preserve">6</w:t>
      </w:r>
      <w:r>
        <w:rPr>
          <w:rFonts w:eastAsia="Calibri" w:cs="Calibri"/>
          <w:i/>
          <w:iCs/>
        </w:rPr>
        <w:t xml:space="preserve">;</w:t>
      </w:r>
      <w:r>
        <w:rPr>
          <w:rFonts w:eastAsia="Calibri" w:cs="Calibri"/>
          <w:i/>
          <w:iCs/>
        </w:rPr>
      </w:r>
    </w:p>
    <w:p>
      <w:pPr>
        <w:pBdr/>
        <w:spacing/>
        <w:ind w:firstLine="709"/>
        <w:jc w:val="both"/>
        <w:rPr>
          <w:rFonts w:eastAsia="Calibri" w:cs="Calibri"/>
          <w:i/>
          <w:iCs/>
        </w:rPr>
      </w:pPr>
      <w:r>
        <w:rPr>
          <w:rFonts w:eastAsia="Calibri" w:cs="Calibri"/>
          <w:i/>
          <w:iCs/>
        </w:rPr>
        <w:t xml:space="preserve">Ủy ban nhân dân</w:t>
      </w:r>
      <w:r>
        <w:rPr>
          <w:rFonts w:eastAsia="Calibri" w:cs="Calibri"/>
          <w:i/>
          <w:iCs/>
        </w:rPr>
        <w:t xml:space="preserve"> tỉnh</w:t>
      </w:r>
      <w:r>
        <w:rPr>
          <w:rFonts w:eastAsia="Calibri" w:cs="Calibri"/>
          <w:i/>
          <w:iCs/>
        </w:rPr>
        <w:t xml:space="preserve"> ban hành Quyết đị</w:t>
      </w:r>
      <w:r>
        <w:rPr>
          <w:rFonts w:eastAsia="Calibri" w:cs="Calibri"/>
          <w:i/>
          <w:iCs/>
        </w:rPr>
        <w:t xml:space="preserve">nh Q</w:t>
      </w:r>
      <w:r>
        <w:rPr>
          <w:rFonts w:eastAsia="Calibri" w:cs="Calibri"/>
          <w:i/>
          <w:iCs/>
        </w:rPr>
        <w:t xml:space="preserve">uy định về dạy thêm, học thêm trên địa bàn tỉnh Tây Ninh.</w:t>
      </w:r>
      <w:r>
        <w:rPr>
          <w:rFonts w:eastAsia="Calibri" w:cs="Calibri"/>
          <w:i/>
          <w:iCs/>
        </w:rPr>
      </w:r>
    </w:p>
    <w:p>
      <w:pPr>
        <w:pBdr/>
        <w:spacing w:before="120"/>
        <w:ind w:firstLine="709"/>
        <w:jc w:val="both"/>
        <w:rPr/>
      </w:pPr>
      <w:r>
        <w:rPr>
          <w:b/>
          <w:bCs/>
          <w:lang w:val="en"/>
        </w:rPr>
        <w:t xml:space="preserve">Điều</w:t>
      </w:r>
      <w:r>
        <w:rPr>
          <w:b/>
          <w:bCs/>
        </w:rPr>
        <w:t xml:space="preserve"> 1. </w:t>
      </w:r>
      <w:r>
        <w:t xml:space="preserve">Ban </w:t>
      </w:r>
      <w:bookmarkStart w:id="0" w:name="_GoBack"/>
      <w:r/>
      <w:bookmarkEnd w:id="0"/>
      <w:r>
        <w:t xml:space="preserve">hành kèm theo Quyết định này </w:t>
      </w:r>
      <w:r>
        <w:t xml:space="preserve">Q</w:t>
      </w:r>
      <w:r>
        <w:t xml:space="preserve">uy định về dạy thêm, học thêm trên địa bàn tỉnh Tây Ninh.</w:t>
      </w:r>
      <w:r/>
    </w:p>
    <w:p>
      <w:pPr>
        <w:pBdr/>
        <w:spacing w:before="120"/>
        <w:ind w:firstLine="709"/>
        <w:jc w:val="both"/>
        <w:rPr>
          <w:spacing w:val="6"/>
        </w:rPr>
      </w:pPr>
      <w:r>
        <w:rPr>
          <w:b/>
        </w:rPr>
        <w:t xml:space="preserve">Điều 2.</w:t>
      </w:r>
      <w:r>
        <w:t xml:space="preserve"> </w:t>
      </w:r>
      <w:r>
        <w:rPr>
          <w:spacing w:val="6"/>
        </w:rPr>
        <w:t xml:space="preserve">Quyết định này có hiệu lực từ ngày … tháng … năm 2026.</w:t>
      </w:r>
      <w:r>
        <w:rPr>
          <w:spacing w:val="6"/>
        </w:rPr>
      </w:r>
    </w:p>
    <w:p>
      <w:pPr>
        <w:pBdr/>
        <w:spacing/>
        <w:ind w:firstLine="709"/>
        <w:jc w:val="both"/>
        <w:rPr/>
      </w:pPr>
      <w:r>
        <w:rPr>
          <w:spacing w:val="6"/>
        </w:rPr>
        <w:t xml:space="preserve">Quyết định này thay thế Quyết định số 23/2025/QĐ-UBND ngày 17/3/2025 của Chủ tịch UBND tỉnh quy định về dạy thêm, học thêm trên địa bàn tỉnh Long An.</w:t>
      </w:r>
      <w:r/>
    </w:p>
    <w:p>
      <w:pPr>
        <w:pBdr/>
        <w:spacing w:before="120"/>
        <w:ind w:firstLine="709"/>
        <w:jc w:val="both"/>
        <w:rPr/>
      </w:pPr>
      <w:r>
        <w:rPr>
          <w:b/>
          <w:bCs/>
          <w:lang w:val="en"/>
        </w:rPr>
        <w:t xml:space="preserve">Điều</w:t>
      </w:r>
      <w:r>
        <w:rPr>
          <w:b/>
          <w:bCs/>
        </w:rPr>
        <w:t xml:space="preserve"> 3. </w:t>
      </w:r>
      <w:r>
        <w:t xml:space="preserve">Chánh Văn phòng </w:t>
      </w:r>
      <w:r>
        <w:t xml:space="preserve">Ủy ban nhân dân</w:t>
      </w:r>
      <w:r>
        <w:t xml:space="preserve"> tỉnh; Giám đốc Sở Giáo dục và Đào tạo; Thủ trưởng các sở,</w:t>
      </w:r>
      <w:r>
        <w:t xml:space="preserve"> ban,</w:t>
      </w:r>
      <w:r>
        <w:t xml:space="preserve"> ngành tỉnh; Chủ tịch UBND các xã, phường;</w:t>
      </w:r>
      <w:r>
        <w:t xml:space="preserve"> Thủ trưởng các cơ quan</w:t>
      </w:r>
      <w:r>
        <w:t xml:space="preserve">,</w:t>
      </w:r>
      <w:r>
        <w:t xml:space="preserve"> tổ chức, cá nhân có liên quan chịu trách nhiệm thi hành Quyết định này</w:t>
      </w:r>
      <w:r>
        <w:t xml:space="preserve">./.</w:t>
      </w:r>
      <w:r/>
    </w:p>
    <w:p>
      <w:pPr>
        <w:pBdr/>
        <w:spacing w:before="120"/>
        <w:ind/>
        <w:rPr>
          <w:sz w:val="26"/>
          <w:szCs w:val="26"/>
        </w:rPr>
      </w:pPr>
      <w:r>
        <w:rPr>
          <w:sz w:val="26"/>
          <w:szCs w:val="26"/>
        </w:rPr>
      </w:r>
      <w:r>
        <w:rPr>
          <w:sz w:val="26"/>
          <w:szCs w:val="26"/>
        </w:rPr>
      </w:r>
    </w:p>
    <w:tbl>
      <w:tblPr>
        <w:tblW w:w="5000" w:type="pct"/>
        <w:tblBorders/>
        <w:tblCellMar>
          <w:left w:w="0" w:type="dxa"/>
          <w:right w:w="0" w:type="dxa"/>
        </w:tblCellMar>
        <w:tblLook w:val="0000" w:firstRow="0" w:lastRow="0" w:firstColumn="0" w:lastColumn="0" w:noHBand="0" w:noVBand="0"/>
      </w:tblPr>
      <w:tblGrid>
        <w:gridCol w:w="4536"/>
        <w:gridCol w:w="4536"/>
      </w:tblGrid>
      <w:tr>
        <w:trPr/>
        <w:tc>
          <w:tcPr>
            <w:shd w:val="clear" w:color="000000" w:fill="ffffff"/>
            <w:tcBorders>
              <w:top w:val="none" w:color="000000" w:sz="4" w:space="0"/>
              <w:left w:val="none" w:color="000000" w:sz="4" w:space="0"/>
              <w:bottom w:val="none" w:color="000000" w:sz="4" w:space="0"/>
              <w:right w:val="none" w:color="000000" w:sz="4" w:space="0"/>
            </w:tcBorders>
            <w:tcW w:w="2500" w:type="pct"/>
            <w:textDirection w:val="lrTb"/>
            <w:noWrap w:val="false"/>
          </w:tcPr>
          <w:p>
            <w:pPr>
              <w:pStyle w:val="740"/>
              <w:pBdr/>
              <w:spacing/>
              <w:ind/>
              <w:rPr>
                <w:rFonts w:ascii="Times New Roman" w:hAnsi="Times New Roman" w:eastAsia="Times New Roman" w:cs="Times New Roman"/>
                <w:spacing w:val="6"/>
                <w:szCs w:val="28"/>
              </w:rPr>
            </w:pPr>
            <w:r>
              <w:rPr>
                <w:sz w:val="26"/>
              </w:rPr>
              <w:br/>
            </w:r>
            <w:r>
              <w:rPr>
                <w:rFonts w:ascii="Times New Roman" w:hAnsi="Times New Roman" w:eastAsia="Times New Roman" w:cs="Times New Roman"/>
                <w:b/>
                <w:i/>
                <w:spacing w:val="6"/>
                <w:sz w:val="24"/>
                <w:szCs w:val="28"/>
              </w:rPr>
              <w:t xml:space="preserve">Nơi nhận:</w:t>
            </w:r>
            <w:r>
              <w:rPr>
                <w:rFonts w:ascii="Times New Roman" w:hAnsi="Times New Roman" w:eastAsia="Times New Roman" w:cs="Times New Roman"/>
                <w:spacing w:val="6"/>
                <w:sz w:val="28"/>
                <w:szCs w:val="28"/>
              </w:rPr>
              <w:br/>
            </w:r>
            <w:r>
              <w:rPr>
                <w:rFonts w:ascii="Times New Roman" w:hAnsi="Times New Roman" w:eastAsia="Times New Roman" w:cs="Times New Roman"/>
                <w:spacing w:val="6"/>
                <w:szCs w:val="28"/>
              </w:rPr>
              <w:t xml:space="preserve">- Như Điều 3;</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Bộ Giáo dục và Đào tạo;</w:t>
            </w:r>
            <w:r>
              <w:rPr>
                <w:rFonts w:ascii="Times New Roman" w:hAnsi="Times New Roman" w:eastAsia="Times New Roman" w:cs="Times New Roman"/>
                <w:spacing w:val="6"/>
                <w:szCs w:val="28"/>
              </w:rPr>
              <w:br/>
              <w:t xml:space="preserve">- Vụ Pháp chế - Bộ Giáo dục và Đào tạo;</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Cục KTVB &amp; QLXLVPHC-Bộ Tư pháp;</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TT. TU, TT. HĐND tỉnh;</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CT, các PCT. UBND tỉnh;</w:t>
            </w:r>
            <w:r>
              <w:rPr>
                <w:rFonts w:ascii="Times New Roman" w:hAnsi="Times New Roman" w:eastAsia="Times New Roman" w:cs="Times New Roman"/>
                <w:spacing w:val="6"/>
                <w:szCs w:val="28"/>
              </w:rPr>
            </w:r>
          </w:p>
          <w:p>
            <w:pPr>
              <w:pBdr/>
              <w:spacing/>
              <w:ind/>
              <w:jc w:val="both"/>
              <w:rPr>
                <w:spacing w:val="6"/>
                <w:sz w:val="22"/>
              </w:rPr>
            </w:pPr>
            <w:r>
              <w:rPr>
                <w:spacing w:val="6"/>
                <w:sz w:val="22"/>
              </w:rPr>
              <w:t xml:space="preserve">- Ủy ban Mặt trận Tổ quốc Việt Nam tỉnh;</w:t>
            </w:r>
            <w:r>
              <w:rPr>
                <w:spacing w:val="6"/>
                <w:sz w:val="22"/>
              </w:rPr>
            </w:r>
          </w:p>
          <w:p>
            <w:pPr>
              <w:pBdr/>
              <w:spacing/>
              <w:ind/>
              <w:jc w:val="both"/>
              <w:rPr>
                <w:spacing w:val="6"/>
                <w:sz w:val="22"/>
              </w:rPr>
            </w:pPr>
            <w:r>
              <w:rPr>
                <w:spacing w:val="6"/>
                <w:sz w:val="22"/>
              </w:rPr>
              <w:t xml:space="preserve">- Ban Tổ chức Tỉnh ủy;</w:t>
            </w:r>
            <w:r>
              <w:rPr>
                <w:spacing w:val="6"/>
                <w:sz w:val="22"/>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CVP, các PCVP. UBND tỉnh;</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Cổng thông tin điện tử tỉnh;</w:t>
            </w:r>
            <w:r>
              <w:rPr>
                <w:rFonts w:ascii="Times New Roman" w:hAnsi="Times New Roman" w:eastAsia="Times New Roman" w:cs="Times New Roman"/>
                <w:spacing w:val="6"/>
                <w:szCs w:val="28"/>
              </w:rPr>
            </w:r>
          </w:p>
          <w:p>
            <w:pPr>
              <w:pStyle w:val="740"/>
              <w:pBdr/>
              <w:spacing/>
              <w:ind/>
              <w:rPr>
                <w:rFonts w:ascii="Times New Roman" w:hAnsi="Times New Roman" w:eastAsia="Times New Roman" w:cs="Times New Roman"/>
                <w:spacing w:val="6"/>
                <w:szCs w:val="28"/>
              </w:rPr>
            </w:pPr>
            <w:r>
              <w:rPr>
                <w:rFonts w:ascii="Times New Roman" w:hAnsi="Times New Roman" w:eastAsia="Times New Roman" w:cs="Times New Roman"/>
                <w:spacing w:val="6"/>
                <w:szCs w:val="28"/>
              </w:rPr>
              <w:t xml:space="preserve">- Phòng VHXH;</w:t>
            </w:r>
            <w:r>
              <w:rPr>
                <w:rFonts w:ascii="Times New Roman" w:hAnsi="Times New Roman" w:eastAsia="Times New Roman" w:cs="Times New Roman"/>
                <w:spacing w:val="6"/>
                <w:szCs w:val="28"/>
              </w:rPr>
            </w:r>
          </w:p>
          <w:p>
            <w:pPr>
              <w:pStyle w:val="740"/>
              <w:pBdr/>
              <w:spacing/>
              <w:ind/>
              <w:rPr>
                <w:rFonts w:cs="Times New Roman"/>
                <w:sz w:val="26"/>
                <w:szCs w:val="26"/>
                <w:lang w:val="en"/>
              </w:rPr>
            </w:pPr>
            <w:r>
              <w:rPr>
                <w:rFonts w:ascii="Times New Roman" w:hAnsi="Times New Roman" w:eastAsia="Times New Roman" w:cs="Times New Roman"/>
                <w:spacing w:val="6"/>
                <w:szCs w:val="28"/>
              </w:rPr>
              <w:t xml:space="preserve">- Lưu: VT, ...</w:t>
            </w:r>
            <w:r>
              <w:rPr>
                <w:rFonts w:ascii="Times New Roman" w:hAnsi="Times New Roman" w:eastAsia="Times New Roman" w:cs="Times New Roman"/>
                <w:spacing w:val="6"/>
                <w:szCs w:val="28"/>
              </w:rPr>
              <w:br/>
            </w:r>
            <w:r>
              <w:rPr>
                <w:rFonts w:cs="Times New Roman"/>
                <w:sz w:val="26"/>
                <w:szCs w:val="26"/>
                <w:lang w:val="en"/>
              </w:rPr>
            </w:r>
          </w:p>
        </w:tc>
        <w:tc>
          <w:tcPr>
            <w:shd w:val="clear" w:color="000000" w:fill="ffffff"/>
            <w:tcBorders>
              <w:top w:val="none" w:color="000000" w:sz="4" w:space="0"/>
              <w:left w:val="none" w:color="000000" w:sz="4" w:space="0"/>
              <w:bottom w:val="none" w:color="000000" w:sz="4" w:space="0"/>
              <w:right w:val="none" w:color="000000" w:sz="4" w:space="0"/>
            </w:tcBorders>
            <w:tcW w:w="2500" w:type="pct"/>
            <w:textDirection w:val="lrTb"/>
            <w:noWrap w:val="false"/>
          </w:tcPr>
          <w:p>
            <w:pPr>
              <w:pBdr/>
              <w:spacing w:before="120"/>
              <w:ind/>
              <w:jc w:val="center"/>
              <w:rPr>
                <w:szCs w:val="26"/>
              </w:rPr>
            </w:pPr>
            <w:r>
              <w:rPr>
                <w:b/>
                <w:bCs/>
                <w:szCs w:val="26"/>
                <w:lang w:val="en"/>
              </w:rPr>
              <w:t xml:space="preserve">TM. </w:t>
            </w:r>
            <w:r>
              <w:rPr>
                <w:b/>
                <w:bCs/>
                <w:szCs w:val="26"/>
              </w:rPr>
              <w:t xml:space="preserve">ỦY BAN NHÂN DÂN</w:t>
            </w:r>
            <w:r>
              <w:rPr>
                <w:b/>
                <w:bCs/>
                <w:szCs w:val="26"/>
              </w:rPr>
              <w:br/>
            </w:r>
            <w:r>
              <w:rPr>
                <w:b/>
                <w:bCs/>
                <w:szCs w:val="26"/>
                <w:lang w:val="en"/>
              </w:rPr>
              <w:t xml:space="preserve">CH</w:t>
            </w:r>
            <w:r>
              <w:rPr>
                <w:b/>
                <w:bCs/>
                <w:szCs w:val="26"/>
              </w:rPr>
              <w:t xml:space="preserve">Ủ TỊCH</w:t>
            </w:r>
            <w:r>
              <w:rPr>
                <w:b/>
                <w:bCs/>
                <w:szCs w:val="26"/>
              </w:rPr>
              <w:br/>
            </w:r>
            <w:r>
              <w:rPr>
                <w:szCs w:val="26"/>
              </w:rPr>
            </w:r>
          </w:p>
          <w:p>
            <w:pPr>
              <w:pBdr/>
              <w:spacing w:before="120"/>
              <w:ind/>
              <w:jc w:val="center"/>
              <w:rPr>
                <w:sz w:val="26"/>
                <w:szCs w:val="26"/>
              </w:rPr>
            </w:pPr>
            <w:r>
              <w:rPr>
                <w:sz w:val="26"/>
                <w:szCs w:val="26"/>
              </w:rPr>
            </w:r>
            <w:r>
              <w:rPr>
                <w:sz w:val="26"/>
                <w:szCs w:val="26"/>
              </w:rPr>
            </w:r>
          </w:p>
          <w:p>
            <w:pPr>
              <w:pBdr/>
              <w:spacing w:before="120"/>
              <w:ind/>
              <w:jc w:val="center"/>
              <w:rPr>
                <w:sz w:val="26"/>
                <w:szCs w:val="26"/>
                <w:lang w:val="en"/>
              </w:rPr>
            </w:pPr>
            <w:r>
              <w:rPr>
                <w:sz w:val="26"/>
                <w:szCs w:val="26"/>
              </w:rPr>
              <w:br/>
            </w:r>
            <w:r>
              <w:rPr>
                <w:b/>
                <w:bCs/>
                <w:szCs w:val="26"/>
                <w:lang w:val="en"/>
              </w:rPr>
              <w:t xml:space="preserve">Lê Văn Hẳn</w:t>
            </w:r>
            <w:r>
              <w:rPr>
                <w:sz w:val="26"/>
                <w:szCs w:val="26"/>
                <w:lang w:val="en"/>
              </w:rPr>
            </w:r>
          </w:p>
        </w:tc>
      </w:tr>
    </w:tbl>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jc w:val="both"/>
        <w:rPr>
          <w:b/>
          <w:bCs/>
        </w:rPr>
      </w:pPr>
      <w:r>
        <w:rPr>
          <w:b/>
        </w:rPr>
      </w:r>
      <w:r>
        <w:rPr>
          <w:b/>
        </w:rPr>
      </w:r>
    </w:p>
    <w:p>
      <w:pPr>
        <w:widowControl w:val="false"/>
        <w:pBdr/>
        <w:tabs>
          <w:tab w:val="right" w:leader="dot" w:pos="7920"/>
        </w:tabs>
        <w:spacing w:line="252" w:lineRule="auto"/>
        <w:ind/>
        <w:jc w:val="both"/>
        <w:rPr>
          <w:b/>
          <w:bCs/>
        </w:rPr>
      </w:pPr>
      <w:r>
        <w:rPr>
          <w:b/>
          <w:bCs/>
        </w:rPr>
      </w:r>
      <w:r>
        <w:rPr>
          <w:b/>
          <w:bCs/>
        </w:rPr>
      </w:r>
    </w:p>
    <w:p>
      <w:pPr>
        <w:widowControl w:val="false"/>
        <w:pBdr/>
        <w:tabs>
          <w:tab w:val="right" w:leader="dot" w:pos="7920"/>
        </w:tabs>
        <w:spacing w:line="252" w:lineRule="auto"/>
        <w:ind/>
        <w:jc w:val="both"/>
        <w:rPr>
          <w:b/>
          <w:bCs/>
        </w:rPr>
      </w:pPr>
      <w:r>
        <w:rPr>
          <w:b/>
        </w:rPr>
      </w:r>
      <w:r>
        <w:rPr>
          <w:b/>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line="252" w:lineRule="auto"/>
        <w:ind w:firstLine="709"/>
        <w:jc w:val="both"/>
        <w:rPr>
          <w:b/>
        </w:rPr>
      </w:pPr>
      <w:r>
        <w:rPr>
          <w:b/>
        </w:rPr>
      </w:r>
      <w:r>
        <w:rPr>
          <w:b/>
        </w:rPr>
      </w:r>
    </w:p>
    <w:p>
      <w:pPr>
        <w:widowControl w:val="false"/>
        <w:pBdr/>
        <w:tabs>
          <w:tab w:val="right" w:leader="dot" w:pos="7920"/>
        </w:tabs>
        <w:spacing w:line="252" w:lineRule="auto"/>
        <w:ind w:firstLine="709"/>
        <w:jc w:val="both"/>
        <w:rPr>
          <w:b/>
        </w:rPr>
      </w:pPr>
      <w:r>
        <w:rPr>
          <w:b/>
        </w:rPr>
      </w:r>
      <w:r>
        <w:rPr>
          <w:b/>
        </w:rPr>
      </w:r>
    </w:p>
    <w:tbl>
      <w:tblPr>
        <w:tblW w:w="5000" w:type="pct"/>
        <w:tblBorders/>
        <w:tblCellMar>
          <w:left w:w="0" w:type="dxa"/>
          <w:right w:w="0" w:type="dxa"/>
        </w:tblCellMar>
        <w:tblLook w:val="0000" w:firstRow="0" w:lastRow="0" w:firstColumn="0" w:lastColumn="0" w:noHBand="0" w:noVBand="0"/>
      </w:tblPr>
      <w:tblGrid>
        <w:gridCol w:w="3266"/>
        <w:gridCol w:w="5806"/>
      </w:tblGrid>
      <w:tr>
        <w:trPr/>
        <w:tc>
          <w:tcPr>
            <w:shd w:val="clear" w:color="000000" w:fill="ffffff"/>
            <w:tcBorders/>
            <w:tcW w:w="1800" w:type="pct"/>
            <w:textDirection w:val="lrTb"/>
            <w:noWrap w:val="false"/>
          </w:tcPr>
          <w:p>
            <w:pPr>
              <w:pBdr/>
              <w:spacing w:before="120"/>
              <w:ind/>
              <w:jc w:val="center"/>
              <w:rPr>
                <w:b/>
                <w:bCs/>
                <w:sz w:val="26"/>
                <w:szCs w:val="26"/>
              </w:rPr>
            </w:pPr>
            <w:r>
              <w:rPr>
                <w:b/>
                <w:bCs/>
                <w:sz w:val="26"/>
                <w:szCs w:val="26"/>
              </w:rPr>
              <w:t xml:space="preserve">ỦY BAN NHÂN DÂN </w:t>
            </w:r>
            <w:r>
              <w:rPr>
                <w:b/>
                <w:bCs/>
                <w:sz w:val="26"/>
                <w:szCs w:val="26"/>
              </w:rPr>
            </w:r>
          </w:p>
          <w:p>
            <w:pPr>
              <w:pBdr/>
              <w:spacing/>
              <w:ind/>
              <w:jc w:val="center"/>
              <w:rPr>
                <w:b/>
                <w:bCs/>
                <w:sz w:val="26"/>
                <w:szCs w:val="26"/>
              </w:rPr>
            </w:pPr>
            <w:r>
              <w:rPr>
                <w:b/>
                <w:bCs/>
                <w:sz w:val="26"/>
                <w:szCs w:val="26"/>
              </w:rPr>
              <w:t xml:space="preserve">TỈNH TÂY NINH</w:t>
            </w:r>
            <w:r>
              <w:rPr>
                <w:b/>
                <w:bCs/>
                <w:sz w:val="26"/>
                <w:szCs w:val="26"/>
              </w:rPr>
            </w:r>
          </w:p>
          <w:p>
            <w:pPr>
              <w:pBdr/>
              <w:spacing/>
              <w:ind/>
              <w:jc w:val="center"/>
              <w:rPr>
                <w:b/>
                <w:bCs/>
                <w:szCs w:val="26"/>
              </w:rPr>
            </w:pPr>
            <w:r>
              <w:rPr>
                <w:b/>
                <w:bCs/>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785247</wp:posOffset>
                      </wp:positionH>
                      <wp:positionV relativeFrom="paragraph">
                        <wp:posOffset>51076</wp:posOffset>
                      </wp:positionV>
                      <wp:extent cx="683812" cy="0"/>
                      <wp:effectExtent l="0" t="0" r="21590" b="19050"/>
                      <wp:wrapNone/>
                      <wp:docPr id="2" name="Straight Connector 3"/>
                      <wp:cNvGraphicFramePr/>
                      <a:graphic xmlns:a="http://schemas.openxmlformats.org/drawingml/2006/main">
                        <a:graphicData uri="http://schemas.microsoft.com/office/word/2010/wordprocessingShape">
                          <wps:wsp>
                            <wps:cNvPr id="0" name=""/>
                            <wps:cNvSpPr/>
                            <wps:spPr bwMode="auto">
                              <a:xfrm>
                                <a:off x="0" y="0"/>
                                <a:ext cx="683812"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1312;mso-wrap-distance-left:9.00pt;mso-wrap-distance-top:0.00pt;mso-wrap-distance-right:9.00pt;mso-wrap-distance-bottom:0.00pt;visibility:visible;" from="61.8pt,4.0pt" to="115.7pt,4.0pt" filled="f" strokecolor="#000000" strokeweight="0.50pt">
                      <v:stroke dashstyle="solid"/>
                    </v:line>
                  </w:pict>
                </mc:Fallback>
              </mc:AlternateContent>
            </w:r>
            <w:r>
              <w:rPr>
                <w:b/>
                <w:bCs/>
                <w:szCs w:val="26"/>
              </w:rPr>
            </w:r>
          </w:p>
        </w:tc>
        <w:tc>
          <w:tcPr>
            <w:shd w:val="clear" w:color="000000" w:fill="ffffff"/>
            <w:tcBorders/>
            <w:tcW w:w="3200" w:type="pct"/>
            <w:textDirection w:val="lrTb"/>
            <w:noWrap w:val="false"/>
          </w:tcPr>
          <w:p>
            <w:pPr>
              <w:pBdr/>
              <w:spacing w:before="120"/>
              <w:ind/>
              <w:jc w:val="center"/>
              <w:rPr>
                <w:sz w:val="26"/>
                <w:szCs w:val="26"/>
                <w:lang w:val="en"/>
              </w:rPr>
            </w:pPr>
            <w:r>
              <w:rPr>
                <w:b/>
                <w:bCs/>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928370</wp:posOffset>
                      </wp:positionH>
                      <wp:positionV relativeFrom="paragraph">
                        <wp:posOffset>521031</wp:posOffset>
                      </wp:positionV>
                      <wp:extent cx="1963365" cy="0"/>
                      <wp:effectExtent l="0" t="0" r="37465" b="19050"/>
                      <wp:wrapNone/>
                      <wp:docPr id="3" name="Straight Connector 4"/>
                      <wp:cNvGraphicFramePr/>
                      <a:graphic xmlns:a="http://schemas.openxmlformats.org/drawingml/2006/main">
                        <a:graphicData uri="http://schemas.microsoft.com/office/word/2010/wordprocessingShape">
                          <wps:wsp>
                            <wps:cNvPr id="0" name=""/>
                            <wps:cNvSpPr/>
                            <wps:spPr bwMode="auto">
                              <a:xfrm>
                                <a:off x="0" y="0"/>
                                <a:ext cx="196336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 o:spid="_x0000_s2" style="position:absolute;left:0;text-align:left;z-index:251662336;mso-wrap-distance-left:9.00pt;mso-wrap-distance-top:0.00pt;mso-wrap-distance-right:9.00pt;mso-wrap-distance-bottom:0.00pt;visibility:visible;" from="73.1pt,41.0pt" to="227.7pt,41.0pt" filled="f" strokecolor="#000000" strokeweight="0.50pt">
                      <v:stroke dashstyle="solid"/>
                    </v:line>
                  </w:pict>
                </mc:Fallback>
              </mc:AlternateContent>
            </w:r>
            <w:r>
              <w:rPr>
                <w:b/>
                <w:bCs/>
                <w:sz w:val="26"/>
                <w:szCs w:val="26"/>
                <w:lang w:val="en"/>
              </w:rPr>
              <w:t xml:space="preserve">C</w:t>
            </w:r>
            <w:r>
              <w:rPr>
                <w:b/>
                <w:bCs/>
                <w:sz w:val="26"/>
                <w:szCs w:val="26"/>
              </w:rPr>
              <w:t xml:space="preserve">ỘNG HÒA XÃ HỘI CHỦ NGHĨA VIỆT NAM</w:t>
            </w:r>
            <w:r>
              <w:rPr>
                <w:b/>
                <w:bCs/>
                <w:sz w:val="26"/>
                <w:szCs w:val="26"/>
              </w:rPr>
              <w:br/>
              <w:t xml:space="preserve">Độc lập - Tự do - Hạnh phúc </w:t>
            </w:r>
            <w:r>
              <w:rPr>
                <w:b/>
                <w:bCs/>
                <w:sz w:val="26"/>
                <w:szCs w:val="26"/>
              </w:rPr>
              <w:br/>
            </w:r>
            <w:r>
              <w:rPr>
                <w:sz w:val="26"/>
                <w:szCs w:val="26"/>
                <w:lang w:val="en"/>
              </w:rPr>
            </w:r>
          </w:p>
        </w:tc>
      </w:tr>
    </w:tbl>
    <w:p>
      <w:pPr>
        <w:pBdr/>
        <w:spacing w:before="120"/>
        <w:ind/>
        <w:rPr>
          <w:b/>
          <w:bCs/>
          <w:sz w:val="26"/>
          <w:szCs w:val="26"/>
          <w:lang w:val="en"/>
        </w:rPr>
      </w:pPr>
      <w:r>
        <w:rPr>
          <w:b/>
          <w:bCs/>
          <w:sz w:val="26"/>
          <w:szCs w:val="26"/>
          <w:lang w:val="en"/>
        </w:rPr>
      </w:r>
      <w:r>
        <w:rPr>
          <w:b/>
          <w:bCs/>
          <w:sz w:val="26"/>
          <w:szCs w:val="26"/>
          <w:lang w:val="en"/>
        </w:rPr>
      </w:r>
    </w:p>
    <w:p>
      <w:pPr>
        <w:pBdr/>
        <w:spacing w:before="120"/>
        <w:ind/>
        <w:jc w:val="center"/>
        <w:rPr>
          <w:b/>
          <w:bCs/>
          <w:szCs w:val="26"/>
        </w:rPr>
      </w:pPr>
      <w:r>
        <w:rPr>
          <w:b/>
          <w:bCs/>
          <w:szCs w:val="26"/>
          <w:lang w:val="en"/>
        </w:rPr>
        <w:t xml:space="preserve">QUY Đ</w:t>
      </w:r>
      <w:r>
        <w:rPr>
          <w:b/>
          <w:bCs/>
          <w:szCs w:val="26"/>
        </w:rPr>
        <w:t xml:space="preserve">ỊNH</w:t>
      </w:r>
      <w:r>
        <w:rPr>
          <w:b/>
          <w:bCs/>
          <w:szCs w:val="26"/>
        </w:rPr>
      </w:r>
    </w:p>
    <w:p>
      <w:pPr>
        <w:pBdr/>
        <w:spacing w:before="120"/>
        <w:ind/>
        <w:jc w:val="center"/>
        <w:rPr>
          <w:i/>
          <w:iCs/>
          <w:szCs w:val="26"/>
        </w:rPr>
      </w:pPr>
      <w:r>
        <w:rPr>
          <w:b/>
          <w:bCs/>
          <w:szCs w:val="26"/>
          <w:lang w:val="en"/>
        </w:rPr>
        <w:t xml:space="preserve">Về dạy thêm, học thêm trên địa bàn tỉnh Tây Ninh</w:t>
      </w:r>
      <w:r>
        <w:rPr>
          <w:b/>
          <w:bCs/>
          <w:sz w:val="26"/>
          <w:szCs w:val="26"/>
          <w:lang w:val="en"/>
        </w:rPr>
        <w:br/>
      </w:r>
      <w:r>
        <w:rPr>
          <w:i/>
          <w:iCs/>
          <w:szCs w:val="26"/>
          <w:lang w:val="en"/>
        </w:rPr>
        <w:t xml:space="preserve">(Ban hành kèm theo Quy</w:t>
      </w:r>
      <w:r>
        <w:rPr>
          <w:i/>
          <w:iCs/>
          <w:szCs w:val="26"/>
        </w:rPr>
        <w:t xml:space="preserve">ết định số           /2026/QĐ-UBND)</w:t>
      </w:r>
      <w:r>
        <w:rPr>
          <w:i/>
          <w:iCs/>
          <w:szCs w:val="26"/>
        </w:rPr>
      </w:r>
    </w:p>
    <w:p>
      <w:pPr>
        <w:widowControl w:val="false"/>
        <w:pBdr/>
        <w:tabs>
          <w:tab w:val="right" w:leader="dot" w:pos="7920"/>
        </w:tabs>
        <w:spacing w:line="252" w:lineRule="auto"/>
        <w:ind/>
        <w:jc w:val="both"/>
        <w:rPr>
          <w:b/>
        </w:rPr>
      </w:pPr>
      <w:r>
        <w:rPr>
          <w:b/>
        </w:rPr>
      </w:r>
      <w:r>
        <w:rPr>
          <w:b/>
        </w:rPr>
      </w:r>
    </w:p>
    <w:p>
      <w:pPr>
        <w:widowControl w:val="false"/>
        <w:pBdr/>
        <w:tabs>
          <w:tab w:val="right" w:leader="dot" w:pos="7920"/>
        </w:tabs>
        <w:spacing w:before="120" w:line="252" w:lineRule="auto"/>
        <w:ind w:firstLine="709"/>
        <w:jc w:val="both"/>
        <w:rPr>
          <w:b/>
        </w:rPr>
      </w:pPr>
      <w:r>
        <w:rPr>
          <w:b/>
        </w:rPr>
        <w:t xml:space="preserve">Điều 1.</w:t>
      </w:r>
      <w:r>
        <w:t xml:space="preserve"> </w:t>
      </w:r>
      <w:r>
        <w:rPr>
          <w:b/>
        </w:rPr>
        <w:t xml:space="preserve">Phạm vi điều chỉnh và đối tượng áp dụng</w:t>
      </w:r>
      <w:r>
        <w:rPr>
          <w:b/>
        </w:rPr>
      </w:r>
    </w:p>
    <w:p>
      <w:pPr>
        <w:widowControl w:val="false"/>
        <w:pBdr/>
        <w:tabs>
          <w:tab w:val="right" w:leader="dot" w:pos="9324"/>
        </w:tabs>
        <w:spacing w:before="120" w:line="252" w:lineRule="auto"/>
        <w:ind w:firstLine="709"/>
        <w:jc w:val="both"/>
        <w:rPr/>
      </w:pPr>
      <w:r>
        <w:t xml:space="preserve">1. Phạm vi điều chỉnh</w:t>
      </w:r>
      <w:r/>
    </w:p>
    <w:p>
      <w:pPr>
        <w:pBdr/>
        <w:spacing w:before="120" w:line="252" w:lineRule="auto"/>
        <w:ind w:firstLine="709"/>
        <w:jc w:val="both"/>
        <w:rPr/>
      </w:pPr>
      <w:r>
        <w:t xml:space="preserve">Quy định này quy đị</w:t>
      </w:r>
      <w:r>
        <w:t xml:space="preserve">nh về dạy thêm, học thêm bao gồm: trách nhiệm trong việc thực hiện quy định về dạy thêm, học thêm; việc quản lý và sử dụng kinh phí tổ chức dạy thêm, học thêm; công tác thanh tra, kiểm tra và xử lý vi phạm về hoạt động dạy thêm, học thêm trên địa bàn tỉnh </w:t>
      </w:r>
      <w:r>
        <w:t xml:space="preserve">Tây Ninh</w:t>
      </w:r>
      <w:r>
        <w:t xml:space="preserve">.</w:t>
      </w:r>
      <w:r/>
    </w:p>
    <w:p>
      <w:pPr>
        <w:pBdr/>
        <w:spacing w:before="120" w:line="252" w:lineRule="auto"/>
        <w:ind w:firstLine="709"/>
        <w:jc w:val="both"/>
        <w:rPr>
          <w:bCs/>
        </w:rPr>
      </w:pPr>
      <w:r>
        <w:rPr>
          <w:bCs/>
        </w:rPr>
        <w:t xml:space="preserve">2. Đối tượng áp dụng</w:t>
      </w:r>
      <w:r>
        <w:rPr>
          <w:bCs/>
        </w:rPr>
      </w:r>
    </w:p>
    <w:p>
      <w:pPr>
        <w:pBdr/>
        <w:spacing w:before="120" w:line="252" w:lineRule="auto"/>
        <w:ind w:firstLine="709"/>
        <w:jc w:val="both"/>
        <w:rPr/>
      </w:pPr>
      <w:r>
        <w:t xml:space="preserve">Quy định này áp dụng đối với người dạy thêm, người học thêm; tổ chức, cá nhân tổ chức dạy thêm, học thêm và các tổ chức, cá nhân có liên quan trên địa bàn tỉnh </w:t>
      </w:r>
      <w:r>
        <w:t xml:space="preserve">Tây Ninh</w:t>
      </w:r>
      <w:r>
        <w:t xml:space="preserve">.</w:t>
      </w:r>
      <w:r/>
    </w:p>
    <w:p>
      <w:pPr>
        <w:pBdr/>
        <w:spacing w:before="120"/>
        <w:ind w:firstLine="709"/>
        <w:jc w:val="both"/>
        <w:rPr>
          <w:b/>
        </w:rPr>
      </w:pPr>
      <w:r>
        <w:tab/>
      </w:r>
      <w:r>
        <w:rPr>
          <w:b/>
        </w:rPr>
        <w:t xml:space="preserve">Điều 2. Trách nhiệm của Sở Giáo dục và Đào tạo và các sở, </w:t>
      </w:r>
      <w:r>
        <w:rPr>
          <w:b/>
        </w:rPr>
        <w:t xml:space="preserve">ban, </w:t>
      </w:r>
      <w:r>
        <w:rPr>
          <w:b/>
        </w:rPr>
        <w:t xml:space="preserve">ngành, trong việc thực hiện quy định về dạy thêm, học thêm</w:t>
      </w:r>
      <w:r>
        <w:rPr>
          <w:b/>
        </w:rPr>
      </w:r>
    </w:p>
    <w:p>
      <w:pPr>
        <w:widowControl w:val="false"/>
        <w:pBdr/>
        <w:tabs>
          <w:tab w:val="right" w:leader="dot" w:pos="9324"/>
        </w:tabs>
        <w:spacing w:before="120"/>
        <w:ind w:firstLine="709"/>
        <w:jc w:val="both"/>
        <w:rPr/>
      </w:pPr>
      <w:r>
        <w:t xml:space="preserve">1. Sở Giáo dục và Đào tạo</w:t>
      </w:r>
      <w:r/>
    </w:p>
    <w:p>
      <w:pPr>
        <w:pBdr/>
        <w:spacing w:before="120"/>
        <w:ind w:firstLine="709"/>
        <w:jc w:val="both"/>
        <w:rPr/>
      </w:pPr>
      <w:r>
        <w:t xml:space="preserve">a) Chịu trách nhiệm trước UBND tỉnh về quản lý hoạt động dạy thêm, học thêm trên địa bàn tỉnh theo quy định.</w:t>
      </w:r>
      <w:r/>
    </w:p>
    <w:p>
      <w:pPr>
        <w:pBdr/>
        <w:spacing w:before="120"/>
        <w:ind w:firstLine="709"/>
        <w:jc w:val="both"/>
        <w:rPr/>
      </w:pPr>
      <w:r>
        <w:t xml:space="preserve">b) Chủ trì, phối hợp với các sở,</w:t>
      </w:r>
      <w:r>
        <w:t xml:space="preserve"> ban,</w:t>
      </w:r>
      <w:r>
        <w:t xml:space="preserve"> ngành</w:t>
      </w:r>
      <w:r>
        <w:rPr>
          <w:lang w:val="vi-VN"/>
        </w:rPr>
        <w:t xml:space="preserve"> </w:t>
      </w:r>
      <w:r>
        <w:t xml:space="preserve">và UBND các </w:t>
      </w:r>
      <w:r>
        <w:t xml:space="preserve">xã, phường</w:t>
      </w:r>
      <w:r>
        <w:t xml:space="preserve"> (sau đây viết là UBND cấp </w:t>
      </w:r>
      <w:r>
        <w:t xml:space="preserve">xã</w:t>
      </w:r>
      <w:r>
        <w:t xml:space="preserve">) triển khai, theo dõi việc thực hiện quy định này và các quy định tại Thông tư số 29/2024/TT-BGDĐT ngày 30/12/2024 </w:t>
      </w:r>
      <w:r>
        <w:rPr>
          <w:iCs/>
        </w:rPr>
        <w:t xml:space="preserve">của Bộ trưởng Bộ Giáo dục và Đào tạo quy định về dạy thêm, học thêm (sau đây viết là Thông tư số 29/2024/TT-BGDĐT)</w:t>
      </w:r>
      <w:r>
        <w:rPr>
          <w:iCs/>
        </w:rPr>
        <w:t xml:space="preserve"> và Thông tư số 19/202</w:t>
      </w:r>
      <w:r>
        <w:rPr>
          <w:iCs/>
        </w:rPr>
        <w:t xml:space="preserve">6/TT-BGDĐT ngày 31/03/2026 của Bộ trưởng Bộ Giáo dục và Đào tạo sửa đổi, bổ sung một số điều của Thông tư số 29/2024/TT-BGDĐT ngày 30/12/2024 của Bộ trưởng Bộ Giáo dục và Đào tạo quy định về dạy thêm, học thêm (sau đây viết là Thông tư số 19/2026/TT-BGDĐT)</w:t>
      </w:r>
      <w:r>
        <w:t xml:space="preserve">.</w:t>
      </w:r>
      <w:r/>
    </w:p>
    <w:p>
      <w:pPr>
        <w:widowControl w:val="false"/>
        <w:pBdr/>
        <w:tabs>
          <w:tab w:val="right" w:leader="dot" w:pos="9324"/>
        </w:tabs>
        <w:spacing w:before="120" w:line="252" w:lineRule="auto"/>
        <w:ind w:firstLine="709"/>
        <w:jc w:val="both"/>
        <w:rPr>
          <w:iCs/>
        </w:rPr>
      </w:pPr>
      <w:r>
        <w:t xml:space="preserve">c)</w:t>
      </w:r>
      <w:r>
        <w:t xml:space="preserve"> </w:t>
      </w:r>
      <w:r>
        <w:t xml:space="preserve">T</w:t>
      </w:r>
      <w:r>
        <w:t xml:space="preserve">hực hiện trách nhiệm</w:t>
      </w:r>
      <w:r>
        <w:t xml:space="preserve"> được</w:t>
      </w:r>
      <w:r>
        <w:t xml:space="preserve"> quy định tại Điều 2 </w:t>
      </w:r>
      <w:r>
        <w:rPr>
          <w:iCs/>
        </w:rPr>
        <w:t xml:space="preserve">Thông tư số 19/2026/TT-BGDĐT</w:t>
      </w:r>
      <w:r>
        <w:rPr>
          <w:iCs/>
        </w:rPr>
        <w:t xml:space="preserve"> đối với các </w:t>
      </w:r>
      <w:r>
        <w:rPr>
          <w:iCs/>
        </w:rPr>
        <w:t xml:space="preserve">cơ sở giáo dục</w:t>
      </w:r>
      <w:r>
        <w:rPr>
          <w:iCs/>
        </w:rPr>
        <w:t xml:space="preserve"> thuộc thẩm quyền quản lý</w:t>
      </w:r>
      <w:r>
        <w:rPr>
          <w:iCs/>
        </w:rPr>
        <w:t xml:space="preserve">.</w:t>
      </w:r>
      <w:r>
        <w:rPr>
          <w:iCs/>
        </w:rPr>
      </w:r>
    </w:p>
    <w:p>
      <w:pPr>
        <w:pBdr/>
        <w:spacing w:before="120"/>
        <w:ind w:firstLine="709"/>
        <w:jc w:val="both"/>
        <w:rPr/>
      </w:pPr>
      <w:r>
        <w:t xml:space="preserve">d</w:t>
      </w:r>
      <w:r>
        <w:t xml:space="preserve">) Tiếp nhận và xử lý các thông tin phản ánh về dạy thêm, học thêm trên địa bàn tỉnh (Phòng Tiếp công dân Sở Giáo dục và Đào tạo; địa chỉ Số 411, Quốc lộ 1, </w:t>
      </w:r>
      <w:r>
        <w:t xml:space="preserve">p</w:t>
      </w:r>
      <w:r>
        <w:t xml:space="preserve">hường </w:t>
      </w:r>
      <w:r>
        <w:t xml:space="preserve">Long An</w:t>
      </w:r>
      <w:r>
        <w:t xml:space="preserve">, tỉnh </w:t>
      </w:r>
      <w:r>
        <w:t xml:space="preserve">Tây Ninh</w:t>
      </w:r>
      <w:r>
        <w:t xml:space="preserve">; điện thoại: 0272.3838 977).</w:t>
      </w:r>
      <w:r/>
    </w:p>
    <w:p>
      <w:pPr>
        <w:widowControl w:val="false"/>
        <w:pBdr/>
        <w:tabs>
          <w:tab w:val="right" w:leader="dot" w:pos="9324"/>
        </w:tabs>
        <w:spacing w:before="120"/>
        <w:ind w:firstLine="709"/>
        <w:jc w:val="both"/>
        <w:rPr/>
      </w:pPr>
      <w:r>
        <w:t xml:space="preserve">2. Sở Tài chính</w:t>
      </w:r>
      <w:r/>
    </w:p>
    <w:p>
      <w:pPr>
        <w:widowControl w:val="false"/>
        <w:pBdr/>
        <w:tabs>
          <w:tab w:val="right" w:leader="dot" w:pos="9324"/>
        </w:tabs>
        <w:spacing w:before="120"/>
        <w:ind w:firstLine="709"/>
        <w:jc w:val="both"/>
        <w:rPr/>
      </w:pPr>
      <w:r>
        <w:t xml:space="preserve">Phối hợp Sở Giáo dục và Đào tạo và các </w:t>
      </w:r>
      <w:r>
        <w:t xml:space="preserve">đơn vị</w:t>
      </w:r>
      <w:r>
        <w:t xml:space="preserve"> liên quan tham mưu UBND tỉnh bố trí kinh phí thực hiện hoạt động dạy thêm, học thêm trong nhà trường theo khả năng cân đối ngân sách và phân cấp ngân sách.</w:t>
      </w:r>
      <w:r/>
    </w:p>
    <w:p>
      <w:pPr>
        <w:widowControl w:val="false"/>
        <w:pBdr/>
        <w:tabs>
          <w:tab w:val="right" w:leader="dot" w:pos="9324"/>
        </w:tabs>
        <w:spacing w:before="120"/>
        <w:ind w:firstLine="709"/>
        <w:jc w:val="both"/>
        <w:rPr/>
      </w:pPr>
      <w:r>
        <w:t xml:space="preserve">3. Các sở,</w:t>
      </w:r>
      <w:r>
        <w:t xml:space="preserve"> ban,</w:t>
      </w:r>
      <w:r>
        <w:t xml:space="preserve"> ngành: </w:t>
      </w:r>
      <w:r>
        <w:t xml:space="preserve">theo</w:t>
      </w:r>
      <w:r>
        <w:t xml:space="preserve"> chức năng, nhiệm vụ, quyền hạn </w:t>
      </w:r>
      <w:r>
        <w:t xml:space="preserve">được giao</w:t>
      </w:r>
      <w:r>
        <w:t xml:space="preserve">, có trách nhiệm phối hợp với Sở Giáo dục và Đào tạo, UBND cấp </w:t>
      </w:r>
      <w:r>
        <w:t xml:space="preserve">xã</w:t>
      </w:r>
      <w:r>
        <w:t xml:space="preserve"> trong việc quản lý, thanh tra, kiểm tra và xử lý vi phạm hoạt động dạy thêm, học thêm trên địa bàn tỉnh theo quy định</w:t>
      </w:r>
      <w:r>
        <w:t xml:space="preserve"> của pháp luật</w:t>
      </w:r>
      <w:r>
        <w:t xml:space="preserve">.</w:t>
      </w:r>
      <w:r/>
    </w:p>
    <w:p>
      <w:pPr>
        <w:widowControl w:val="false"/>
        <w:pBdr/>
        <w:tabs>
          <w:tab w:val="right" w:leader="dot" w:pos="9324"/>
        </w:tabs>
        <w:spacing w:before="120"/>
        <w:ind w:firstLine="709"/>
        <w:jc w:val="both"/>
        <w:rPr>
          <w:b/>
        </w:rPr>
      </w:pPr>
      <w:r>
        <w:rPr>
          <w:b/>
        </w:rPr>
        <w:t xml:space="preserve">Điều 3. </w:t>
      </w:r>
      <w:r>
        <w:rPr>
          <w:b/>
          <w:bCs/>
        </w:rPr>
        <w:t xml:space="preserve">Trách nhiệm của UBND </w:t>
      </w:r>
      <w:r>
        <w:rPr>
          <w:b/>
          <w:bCs/>
        </w:rPr>
        <w:t xml:space="preserve">cấp xã</w:t>
      </w:r>
      <w:r>
        <w:rPr>
          <w:b/>
          <w:bCs/>
        </w:rPr>
        <w:t xml:space="preserve"> trong việc thực hiện quy định về dạy thêm, học thêm</w:t>
      </w:r>
      <w:r>
        <w:rPr>
          <w:b/>
        </w:rPr>
      </w:r>
    </w:p>
    <w:p>
      <w:pPr>
        <w:pBdr/>
        <w:spacing w:before="120"/>
        <w:ind w:firstLine="709"/>
        <w:jc w:val="both"/>
        <w:rPr/>
      </w:pPr>
      <w:r>
        <w:t xml:space="preserve">1.</w:t>
      </w:r>
      <w:r>
        <w:t xml:space="preserve"> Chịu trách nhiệm quản lý đối với hoạt động dạy thêm, học thêm trên địa bàn theo Quy định này và quy định tại Điều 7 Thông tư số </w:t>
      </w:r>
      <w:r>
        <w:t xml:space="preserve">1</w:t>
      </w:r>
      <w:r>
        <w:t xml:space="preserve">9/2026/TT-BGDĐT.</w:t>
      </w:r>
      <w:r/>
    </w:p>
    <w:p>
      <w:pPr>
        <w:pBdr/>
        <w:spacing w:before="120"/>
        <w:ind w:firstLine="709"/>
        <w:jc w:val="both"/>
        <w:rPr/>
      </w:pPr>
      <w:r>
        <w:t xml:space="preserve">2.</w:t>
      </w:r>
      <w:r>
        <w:t xml:space="preserve"> Tổ chức kiểm tra hoạt động dạy thêm, học thêm trên địa bàn để xử lý theo thẩm quyền hoặc kiến nghị với các cơ quan có thẩm quyền xử lý sai phạm. </w:t>
      </w:r>
      <w:r/>
    </w:p>
    <w:p>
      <w:pPr>
        <w:pBdr/>
        <w:spacing w:before="120"/>
        <w:ind w:firstLine="709"/>
        <w:jc w:val="both"/>
        <w:rPr>
          <w:lang w:val="vi-VN"/>
        </w:rPr>
      </w:pPr>
      <w:r>
        <w:t xml:space="preserve">3.</w:t>
      </w:r>
      <w:r>
        <w:rPr>
          <w:lang w:val="vi-VN"/>
        </w:rPr>
        <w:t xml:space="preserve"> Cân đối, bố trí ngân sách địa phương và huy động các nguồn kinh phí hợp pháp khác để đảm bảo cho việc thực hiện hoạt động dạy thêm, học thêm trong nhà trường.</w:t>
      </w:r>
      <w:r>
        <w:rPr>
          <w:lang w:val="vi-VN"/>
        </w:rPr>
      </w:r>
    </w:p>
    <w:p>
      <w:pPr>
        <w:pBdr/>
        <w:spacing w:before="120"/>
        <w:ind w:firstLine="709"/>
        <w:jc w:val="both"/>
        <w:rPr/>
      </w:pPr>
      <w:r>
        <w:t xml:space="preserve">4</w:t>
      </w:r>
      <w:r>
        <w:t xml:space="preserve">.</w:t>
      </w:r>
      <w:r>
        <w:t xml:space="preserve"> </w:t>
      </w:r>
      <w:r>
        <w:t xml:space="preserve">Công </w:t>
      </w:r>
      <w:r>
        <w:t xml:space="preserve">khai</w:t>
      </w:r>
      <w:r>
        <w:t xml:space="preserve"> số điện thoại để tiếp nhận và xử lý thông tin phản ánh của người dân về hoạt động dạy thêm, học thêm trên địa bàn</w:t>
      </w:r>
      <w:r>
        <w:t xml:space="preserve">.</w:t>
      </w:r>
      <w:r/>
    </w:p>
    <w:p>
      <w:pPr>
        <w:widowControl w:val="false"/>
        <w:pBdr/>
        <w:tabs>
          <w:tab w:val="right" w:leader="dot" w:pos="9324"/>
        </w:tabs>
        <w:spacing w:before="120" w:line="252" w:lineRule="auto"/>
        <w:ind w:firstLine="709"/>
        <w:jc w:val="both"/>
        <w:rPr/>
      </w:pPr>
      <w:r>
        <w:rPr>
          <w:b/>
        </w:rPr>
        <w:t xml:space="preserve">Điều </w:t>
      </w:r>
      <w:r>
        <w:rPr>
          <w:b/>
        </w:rPr>
        <w:t xml:space="preserve">4</w:t>
      </w:r>
      <w:r>
        <w:rPr>
          <w:b/>
        </w:rPr>
        <w:t xml:space="preserve">. Trách nhiệm của </w:t>
      </w:r>
      <w:r>
        <w:rPr>
          <w:b/>
        </w:rPr>
        <w:t xml:space="preserve">Hiệu trưởng hoặc Giám đốc hoặc người đứng đầu nhà trường</w:t>
      </w:r>
      <w:r/>
    </w:p>
    <w:p>
      <w:pPr>
        <w:pBdr/>
        <w:spacing w:before="120" w:line="252" w:lineRule="auto"/>
        <w:ind w:firstLine="709"/>
        <w:jc w:val="both"/>
        <w:rPr/>
      </w:pPr>
      <w:r>
        <w:t xml:space="preserve">1. Chịu trách nhiệm </w:t>
      </w:r>
      <w:r>
        <w:rPr>
          <w:lang w:val="vi-VN"/>
        </w:rPr>
        <w:t xml:space="preserve">tổ chức, </w:t>
      </w:r>
      <w:r>
        <w:t xml:space="preserve">quản lý </w:t>
      </w:r>
      <w:r>
        <w:rPr>
          <w:lang w:val="vi-VN"/>
        </w:rPr>
        <w:t xml:space="preserve">việc</w:t>
      </w:r>
      <w:r>
        <w:t xml:space="preserve"> dạy thêm, học thêm </w:t>
      </w:r>
      <w:r>
        <w:rPr>
          <w:lang w:val="vi-VN"/>
        </w:rPr>
        <w:t xml:space="preserve">trong nhà trường</w:t>
      </w:r>
      <w:r>
        <w:t xml:space="preserve"> và </w:t>
      </w:r>
      <w:r>
        <w:rPr>
          <w:shd w:val="clear" w:color="auto" w:fill="ffffff"/>
        </w:rPr>
        <w:t xml:space="preserve">quản lý giáo viên đang dạy học tại nhà trường khi tham gia dạy thêm ngoài nhà trường</w:t>
      </w:r>
      <w:r>
        <w:t xml:space="preserve"> theo Quy định này và quy định tại Điều 13 Thông tư số 29/2024/TT-BGDĐT</w:t>
      </w:r>
      <w:r>
        <w:t xml:space="preserve"> và Điều 8 Thông tư số 19/2026/TT-BGDĐT</w:t>
      </w:r>
      <w:r>
        <w:t xml:space="preserve">.</w:t>
      </w:r>
      <w:r/>
    </w:p>
    <w:p>
      <w:pPr>
        <w:pBdr/>
        <w:spacing w:before="120" w:line="252" w:lineRule="auto"/>
        <w:ind w:firstLine="709"/>
        <w:jc w:val="both"/>
        <w:rPr/>
      </w:pPr>
      <w:r>
        <w:t xml:space="preserve">2. </w:t>
      </w:r>
      <w:r>
        <w:t xml:space="preserve">T</w:t>
      </w:r>
      <w:r>
        <w:t xml:space="preserve">rình cơ quan quản lý </w:t>
      </w:r>
      <w:r>
        <w:t xml:space="preserve">chuyên môn </w:t>
      </w:r>
      <w:r>
        <w:t xml:space="preserve">phê duyệt đề nghị về việc tăng thời lượng ôn tập</w:t>
      </w:r>
      <w:r>
        <w:t xml:space="preserve"> </w:t>
      </w:r>
      <w:r>
        <w:t xml:space="preserve">theo quy định tại Điều 2 </w:t>
      </w:r>
      <w:r>
        <w:rPr>
          <w:iCs/>
        </w:rPr>
        <w:t xml:space="preserve">Thông tư số 19/2026/TT-BGDĐT.</w:t>
      </w:r>
      <w:r/>
    </w:p>
    <w:p>
      <w:pPr>
        <w:pBdr/>
        <w:spacing w:before="120" w:line="252" w:lineRule="auto"/>
        <w:ind w:firstLine="709"/>
        <w:jc w:val="both"/>
        <w:rPr/>
      </w:pPr>
      <w:r>
        <w:t xml:space="preserve">3</w:t>
      </w:r>
      <w:r>
        <w:t xml:space="preserve">. Tổng hợp báo cáo tình hình dạy thêm, học thêm theo yêu cầu của cơ quan quản lý giáo dục.</w:t>
      </w:r>
      <w:r/>
    </w:p>
    <w:p>
      <w:pPr>
        <w:widowControl w:val="false"/>
        <w:pBdr/>
        <w:tabs>
          <w:tab w:val="right" w:leader="dot" w:pos="9324"/>
        </w:tabs>
        <w:spacing w:before="120" w:line="252" w:lineRule="auto"/>
        <w:ind w:firstLine="709"/>
        <w:jc w:val="both"/>
        <w:rPr>
          <w:b/>
        </w:rPr>
      </w:pPr>
      <w:r>
        <w:rPr>
          <w:b/>
        </w:rPr>
        <w:t xml:space="preserve">Điều </w:t>
      </w:r>
      <w:r>
        <w:rPr>
          <w:b/>
        </w:rPr>
        <w:t xml:space="preserve">5</w:t>
      </w:r>
      <w:r>
        <w:rPr>
          <w:b/>
        </w:rPr>
        <w:t xml:space="preserve">. Trách nhiệm của cơ sở dạy thêm</w:t>
      </w:r>
      <w:r>
        <w:rPr>
          <w:b/>
        </w:rPr>
      </w:r>
    </w:p>
    <w:p>
      <w:pPr>
        <w:pBdr/>
        <w:spacing w:before="120" w:line="252" w:lineRule="auto"/>
        <w:ind w:firstLine="709"/>
        <w:jc w:val="both"/>
        <w:rPr/>
      </w:pPr>
      <w:r>
        <w:t xml:space="preserve">1. Chịu trách nhiệm </w:t>
      </w:r>
      <w:r>
        <w:rPr>
          <w:lang w:val="vi-VN"/>
        </w:rPr>
        <w:t xml:space="preserve">thực hiện các quy </w:t>
      </w:r>
      <w:r>
        <w:t xml:space="preserve">định</w:t>
      </w:r>
      <w:r>
        <w:rPr>
          <w:lang w:val="vi-VN"/>
        </w:rPr>
        <w:t xml:space="preserve"> về</w:t>
      </w:r>
      <w:r>
        <w:t xml:space="preserve"> dạy thêm, học thêm theo Quy định này</w:t>
      </w:r>
      <w:r>
        <w:t xml:space="preserve">,</w:t>
      </w:r>
      <w:r>
        <w:t xml:space="preserve"> Thông tư số 29/2024/TT-BGDĐT</w:t>
      </w:r>
      <w:r>
        <w:t xml:space="preserve"> và</w:t>
      </w:r>
      <w:r>
        <w:t xml:space="preserve"> Thông tư số 19/2026/TT-BGDĐT</w:t>
      </w:r>
      <w:r>
        <w:t xml:space="preserve"> và các quy định khác của pháp luật có liên quan. </w:t>
      </w:r>
      <w:r/>
    </w:p>
    <w:p>
      <w:pPr>
        <w:pBdr/>
        <w:spacing w:before="120" w:line="252" w:lineRule="auto"/>
        <w:ind w:firstLine="709"/>
        <w:jc w:val="both"/>
        <w:rPr/>
      </w:pPr>
      <w:r>
        <w:t xml:space="preserve">2. Chịu sự thanh tra, kiểm tra của chính quyền, của cơ quan có trách nhiệm quản lý giáo dục các cấp trong việc thực hiện quy định về dạy thêm, học thêm.</w:t>
      </w:r>
      <w:r/>
    </w:p>
    <w:p>
      <w:pPr>
        <w:pBdr/>
        <w:spacing w:before="120" w:line="252" w:lineRule="auto"/>
        <w:ind w:firstLine="709"/>
        <w:jc w:val="both"/>
        <w:rPr/>
      </w:pPr>
      <w:r>
        <w:t xml:space="preserve">3. Báo cáo tình hình dạy thêm, học thêm theo yêu cầu của cơ quan quản lý giáo dục.</w:t>
      </w:r>
      <w:r/>
    </w:p>
    <w:p>
      <w:pPr>
        <w:pBdr/>
        <w:spacing w:before="120" w:line="252" w:lineRule="auto"/>
        <w:ind w:firstLine="709"/>
        <w:jc w:val="both"/>
        <w:rPr>
          <w:b/>
          <w:bCs/>
        </w:rPr>
      </w:pPr>
      <w:r>
        <w:rPr>
          <w:b/>
          <w:bCs/>
        </w:rPr>
        <w:t xml:space="preserve">Điều 6. Quản lý và sử dụng kinh phí</w:t>
      </w:r>
      <w:r>
        <w:rPr>
          <w:b/>
          <w:bCs/>
        </w:rPr>
      </w:r>
    </w:p>
    <w:p>
      <w:pPr>
        <w:pBdr/>
        <w:shd w:val="clear" w:color="auto" w:fill="ffffff"/>
        <w:spacing w:line="252" w:lineRule="auto"/>
        <w:ind w:firstLine="709"/>
        <w:jc w:val="both"/>
        <w:rPr>
          <w:spacing w:val="10"/>
          <w:lang w:val="vi-VN"/>
        </w:rPr>
      </w:pPr>
      <w:r>
        <w:rPr>
          <w:spacing w:val="10"/>
        </w:rPr>
        <w:t xml:space="preserve">1. Dạy thêm, học thêm</w:t>
      </w:r>
      <w:r>
        <w:rPr>
          <w:spacing w:val="10"/>
          <w:lang w:val="vi-VN"/>
        </w:rPr>
        <w:t xml:space="preserve"> trong nhà trường:</w:t>
      </w:r>
      <w:r>
        <w:rPr>
          <w:spacing w:val="10"/>
          <w:lang w:val="vi-VN"/>
        </w:rPr>
      </w:r>
    </w:p>
    <w:p>
      <w:pPr>
        <w:pBdr/>
        <w:shd w:val="clear" w:color="auto" w:fill="ffffff"/>
        <w:spacing w:line="252" w:lineRule="auto"/>
        <w:ind w:firstLine="709"/>
        <w:jc w:val="both"/>
        <w:rPr>
          <w:spacing w:val="10"/>
          <w:lang w:val="vi-VN"/>
        </w:rPr>
      </w:pPr>
      <w:r>
        <w:rPr>
          <w:spacing w:val="10"/>
        </w:rPr>
        <w:t xml:space="preserve">a) </w:t>
      </w:r>
      <w:r>
        <w:rPr>
          <w:spacing w:val="10"/>
          <w:lang w:val="vi-VN"/>
        </w:rPr>
        <w:t xml:space="preserve">Sử dụng nguồn ngân sách nhà nước và các nguồn kinh phí hợp pháp khác theo quy định</w:t>
      </w:r>
      <w:r>
        <w:rPr>
          <w:spacing w:val="10"/>
        </w:rPr>
        <w:t xml:space="preserve"> của pháp luật</w:t>
      </w:r>
      <w:r>
        <w:rPr>
          <w:spacing w:val="10"/>
          <w:lang w:val="vi-VN"/>
        </w:rPr>
        <w:t xml:space="preserve">.</w:t>
      </w:r>
      <w:r>
        <w:rPr>
          <w:spacing w:val="10"/>
          <w:lang w:val="vi-VN"/>
        </w:rPr>
      </w:r>
    </w:p>
    <w:p>
      <w:pPr>
        <w:pBdr/>
        <w:shd w:val="clear" w:color="auto" w:fill="ffffff"/>
        <w:spacing w:line="252" w:lineRule="auto"/>
        <w:ind w:firstLine="709"/>
        <w:jc w:val="both"/>
        <w:rPr>
          <w:spacing w:val="10"/>
          <w:lang w:val="vi-VN"/>
        </w:rPr>
      </w:pPr>
      <w:r>
        <w:rPr>
          <w:spacing w:val="10"/>
        </w:rPr>
        <w:t xml:space="preserve">b) </w:t>
      </w:r>
      <w:r>
        <w:rPr>
          <w:spacing w:val="10"/>
          <w:lang w:val="vi-VN"/>
        </w:rPr>
        <w:t xml:space="preserve">Nhà trường không được thu tiền của học sinh đối với các lớp </w:t>
      </w:r>
      <w:r>
        <w:t xml:space="preserve">ôn tập, phụ đạo học sinh chưa đạt theo yêu cầu của Chương trình giáo dục phổ thông; tổ chức ôn tập để học sinh thi tuyển sinh vào lớp 10; ôn thi tốt nghiệp trung học phổ thông; bồi dưỡng học sinh giỏi</w:t>
      </w:r>
      <w:r>
        <w:rPr>
          <w:spacing w:val="10"/>
          <w:lang w:val="vi-VN"/>
        </w:rPr>
        <w:t xml:space="preserve"> theo kế hoạch </w:t>
      </w:r>
      <w:r>
        <w:rPr>
          <w:spacing w:val="10"/>
        </w:rPr>
        <w:t xml:space="preserve">giáo dục </w:t>
      </w:r>
      <w:r>
        <w:rPr>
          <w:spacing w:val="10"/>
          <w:lang w:val="vi-VN"/>
        </w:rPr>
        <w:t xml:space="preserve">của trường</w:t>
      </w:r>
      <w:r>
        <w:rPr>
          <w:spacing w:val="10"/>
          <w:lang w:val="vi-VN"/>
        </w:rPr>
        <w:t xml:space="preserve">.</w:t>
      </w:r>
      <w:r>
        <w:rPr>
          <w:spacing w:val="10"/>
          <w:lang w:val="vi-VN"/>
        </w:rPr>
      </w:r>
    </w:p>
    <w:p>
      <w:pPr>
        <w:pBdr/>
        <w:shd w:val="clear" w:color="auto" w:fill="ffffff"/>
        <w:spacing w:line="252" w:lineRule="auto"/>
        <w:ind w:firstLine="709"/>
        <w:jc w:val="both"/>
        <w:rPr>
          <w:spacing w:val="10"/>
          <w:lang w:val="vi-VN"/>
        </w:rPr>
      </w:pPr>
      <w:r>
        <w:rPr>
          <w:spacing w:val="10"/>
          <w:lang w:val="vi-VN"/>
        </w:rPr>
        <w:t xml:space="preserve">2. Dạy thêm, học thêm ngoài nhà trường</w:t>
      </w:r>
      <w:r>
        <w:rPr>
          <w:spacing w:val="10"/>
          <w:lang w:val="vi-VN"/>
        </w:rPr>
      </w:r>
    </w:p>
    <w:p>
      <w:pPr>
        <w:pBdr/>
        <w:shd w:val="clear" w:color="auto" w:fill="ffffff"/>
        <w:spacing w:line="252" w:lineRule="auto"/>
        <w:ind w:firstLine="709"/>
        <w:jc w:val="both"/>
        <w:rPr>
          <w:spacing w:val="10"/>
          <w:lang w:val="vi-VN"/>
        </w:rPr>
      </w:pPr>
      <w:r>
        <w:rPr>
          <w:spacing w:val="10"/>
          <w:lang w:val="vi-VN"/>
        </w:rPr>
        <w:t xml:space="preserve">a) Mức thu học phí do thỏa thuận giữa cơ sở dạy thêm với học sinh và cha mẹ học sinh.</w:t>
      </w:r>
      <w:r>
        <w:rPr>
          <w:spacing w:val="10"/>
          <w:lang w:val="vi-VN"/>
        </w:rPr>
      </w:r>
    </w:p>
    <w:p>
      <w:pPr>
        <w:pBdr/>
        <w:shd w:val="clear" w:color="auto" w:fill="ffffff"/>
        <w:spacing w:line="252" w:lineRule="auto"/>
        <w:ind w:firstLine="709"/>
        <w:jc w:val="both"/>
        <w:rPr>
          <w:spacing w:val="10"/>
          <w:lang w:val="vi-VN"/>
        </w:rPr>
      </w:pPr>
      <w:r>
        <w:rPr>
          <w:spacing w:val="10"/>
          <w:lang w:val="vi-VN"/>
        </w:rPr>
        <w:t xml:space="preserve">b) Cơ sở dạy thêm phải </w:t>
      </w:r>
      <w:r>
        <w:rPr>
          <w:spacing w:val="10"/>
          <w:lang w:val="vi-VN"/>
        </w:rPr>
        <w:t xml:space="preserve">có trách nhiệm </w:t>
      </w:r>
      <w:r>
        <w:rPr>
          <w:spacing w:val="10"/>
          <w:lang w:val="vi-VN"/>
        </w:rPr>
        <w:t xml:space="preserve">công khai mức thu tiền học thêm trước khi tuyển sinh.</w:t>
      </w:r>
      <w:r>
        <w:rPr>
          <w:spacing w:val="10"/>
          <w:lang w:val="vi-VN"/>
        </w:rPr>
      </w:r>
    </w:p>
    <w:p>
      <w:pPr>
        <w:pBdr/>
        <w:shd w:val="clear" w:color="auto" w:fill="ffffff"/>
        <w:spacing w:line="252" w:lineRule="auto"/>
        <w:ind w:firstLine="709"/>
        <w:jc w:val="both"/>
        <w:rPr>
          <w:spacing w:val="10"/>
          <w:lang w:val="vi-VN"/>
        </w:rPr>
      </w:pPr>
      <w:r>
        <w:rPr>
          <w:spacing w:val="10"/>
          <w:lang w:val="vi-VN"/>
        </w:rPr>
        <w:t xml:space="preserve">c) Việc thu, chi phải thực hiện đúng quy định pháp luật về tài chính, kế toán và nghĩa vụ thuế.</w:t>
      </w:r>
      <w:r>
        <w:rPr>
          <w:spacing w:val="10"/>
          <w:lang w:val="vi-VN"/>
        </w:rPr>
      </w:r>
    </w:p>
    <w:p>
      <w:pPr>
        <w:pBdr/>
        <w:spacing w:before="120" w:line="252" w:lineRule="auto"/>
        <w:ind w:firstLine="709"/>
        <w:jc w:val="both"/>
        <w:rPr/>
      </w:pPr>
      <w:r>
        <w:rPr>
          <w:b/>
          <w:bCs/>
        </w:rPr>
        <w:t xml:space="preserve">Điều </w:t>
      </w:r>
      <w:r>
        <w:rPr>
          <w:b/>
          <w:bCs/>
        </w:rPr>
        <w:t xml:space="preserve">7</w:t>
      </w:r>
      <w:r>
        <w:rPr>
          <w:b/>
          <w:bCs/>
          <w:lang w:val="vi-VN"/>
        </w:rPr>
        <w:t xml:space="preserve">. Thanh tra, kiểm tra</w:t>
      </w:r>
      <w:r>
        <w:rPr>
          <w:b/>
          <w:bCs/>
        </w:rPr>
        <w:t xml:space="preserve"> và xử lý vi phạm</w:t>
      </w:r>
      <w:r/>
    </w:p>
    <w:p>
      <w:pPr>
        <w:pBdr/>
        <w:shd w:val="clear" w:color="auto" w:fill="ffffff"/>
        <w:spacing w:before="120" w:line="252" w:lineRule="auto"/>
        <w:ind w:firstLine="709"/>
        <w:jc w:val="both"/>
        <w:rPr>
          <w:spacing w:val="10"/>
          <w:lang w:val="vi-VN"/>
        </w:rPr>
      </w:pPr>
      <w:r>
        <w:rPr>
          <w:spacing w:val="10"/>
        </w:rPr>
        <w:t xml:space="preserve">1. </w:t>
      </w:r>
      <w:r>
        <w:rPr>
          <w:spacing w:val="10"/>
          <w:lang w:val="vi-VN"/>
        </w:rPr>
        <w:t xml:space="preserve">Thanh tra, kiểm tra thực hiện theo Điều 15 Thông tư số 29/2024/TT-BGDĐT</w:t>
      </w:r>
      <w:r>
        <w:rPr>
          <w:spacing w:val="10"/>
        </w:rPr>
        <w:t xml:space="preserve"> và Điều 9 </w:t>
      </w:r>
      <w:r>
        <w:t xml:space="preserve">Thông tư số 19/2026/TT-BGDĐT</w:t>
      </w:r>
      <w:r>
        <w:rPr>
          <w:spacing w:val="10"/>
          <w:lang w:val="vi-VN"/>
        </w:rPr>
        <w:t xml:space="preserve">.</w:t>
      </w:r>
      <w:r>
        <w:rPr>
          <w:spacing w:val="10"/>
          <w:lang w:val="vi-VN"/>
        </w:rPr>
      </w:r>
    </w:p>
    <w:p>
      <w:pPr>
        <w:pBdr/>
        <w:spacing w:before="120" w:line="252" w:lineRule="auto"/>
        <w:ind w:firstLine="709"/>
        <w:jc w:val="both"/>
        <w:rPr/>
      </w:pPr>
      <w:r>
        <w:t xml:space="preserve">2</w:t>
      </w:r>
      <w:r>
        <w:t xml:space="preserve">.</w:t>
      </w:r>
      <w:r>
        <w:rPr>
          <w:lang w:val="vi-VN"/>
        </w:rPr>
        <w:t xml:space="preserve"> Cơ sở giáo dục, cơ sở dạy thêm, tổ chức, cá nhân vi phạm quy định về dạy thêm, học thêm trên địa bàn tỉnh, tuỳ theo tính chất và</w:t>
      </w:r>
      <w:r>
        <w:rPr>
          <w:lang w:val="vi-VN"/>
        </w:rPr>
        <w:t xml:space="preserve"> mức độ vi phạm sẽ bị xử lý theo quy định của pháp luật hiện hành. Người đứng đầu cơ quan, tổ chức, đơn vị có cán bộ, công chức, viên chức vi phạm quy định về dạy thêm, học thêm tùy vào tính chất, mức độ hành vi vi phạm thì bị xử lý theo quy định của Luật </w:t>
      </w:r>
      <w:r>
        <w:t xml:space="preserve">C</w:t>
      </w:r>
      <w:r>
        <w:rPr>
          <w:lang w:val="vi-VN"/>
        </w:rPr>
        <w:t xml:space="preserve">án bộ, công chức và Luật Viên chức.</w:t>
      </w:r>
      <w:r>
        <w:t xml:space="preserve">/.</w:t>
      </w:r>
      <w:r/>
    </w:p>
    <w:p>
      <w:pPr>
        <w:widowControl w:val="false"/>
        <w:pBdr/>
        <w:tabs>
          <w:tab w:val="right" w:leader="dot" w:pos="8640"/>
        </w:tabs>
        <w:spacing w:after="40" w:before="40"/>
        <w:ind/>
        <w:jc w:val="both"/>
        <w:rPr>
          <w:rFonts w:ascii="Times New Roman Bold" w:hAnsi="Times New Roman Bold"/>
          <w:b/>
          <w:spacing w:val="-6"/>
        </w:rPr>
      </w:pPr>
      <w:r>
        <w:rPr>
          <w:rFonts w:ascii="Times New Roman Bold" w:hAnsi="Times New Roman Bold"/>
          <w:b/>
          <w:spacing w:val="-6"/>
        </w:rPr>
      </w:r>
      <w:r>
        <w:rPr>
          <w:rFonts w:ascii="Times New Roman Bold" w:hAnsi="Times New Roman Bold"/>
          <w:b/>
          <w:spacing w:val="-6"/>
        </w:rPr>
      </w:r>
    </w:p>
    <w:p>
      <w:pPr>
        <w:widowControl w:val="false"/>
        <w:pBdr/>
        <w:tabs>
          <w:tab w:val="right" w:leader="dot" w:pos="8640"/>
        </w:tabs>
        <w:spacing w:after="40" w:before="40"/>
        <w:ind/>
        <w:jc w:val="both"/>
        <w:rPr>
          <w:rFonts w:ascii="Times New Roman Bold" w:hAnsi="Times New Roman Bold"/>
          <w:b/>
          <w:spacing w:val="-6"/>
        </w:rPr>
      </w:pPr>
      <w:r>
        <w:rPr>
          <w:rFonts w:ascii="Times New Roman Bold" w:hAnsi="Times New Roman Bold"/>
          <w:b/>
          <w:spacing w:val="-6"/>
        </w:rPr>
      </w:r>
      <w:r>
        <w:rPr>
          <w:rFonts w:ascii="Times New Roman Bold" w:hAnsi="Times New Roman Bold"/>
          <w:b/>
          <w:spacing w:val="-6"/>
        </w:rPr>
      </w:r>
    </w:p>
    <w:sectPr>
      <w:headerReference w:type="default" r:id="rId9"/>
      <w:footnotePr/>
      <w:endnotePr/>
      <w:type w:val="nextPage"/>
      <w:pgSz w:h="16840" w:orient="portrait" w:w="11907"/>
      <w:pgMar w:top="1134" w:right="1134" w:bottom="1134" w:left="1701" w:header="567" w:footer="567"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egoe UI">
    <w:panose1 w:val="020B0502040204020203"/>
  </w:font>
  <w:font w:name="Times New Roman">
    <w:panose1 w:val="02020603050405020304"/>
  </w:font>
  <w:font w:name="Times New Roman Bold">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2282195"/>
      <w:docPartObj>
        <w:docPartGallery w:val="Page Numbers (Top of Page)"/>
        <w:docPartUnique w:val="true"/>
      </w:docPartObj>
      <w:rPr/>
    </w:sdtPr>
    <w:sdtContent>
      <w:p>
        <w:pPr>
          <w:pStyle w:val="898"/>
          <w:pBdr/>
          <w:spacing/>
          <w:ind/>
          <w:jc w:val="center"/>
          <w:rPr/>
        </w:pPr>
        <w:r>
          <w:fldChar w:fldCharType="begin"/>
        </w:r>
        <w:r>
          <w:instrText xml:space="preserve"> PAGE   \* MERGEFORMAT </w:instrText>
        </w:r>
        <w:r>
          <w:fldChar w:fldCharType="separate"/>
        </w:r>
        <w:r>
          <w:t xml:space="preserve">5</w:t>
        </w:r>
        <w:r>
          <w:fldChar w:fldCharType="end"/>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2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2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2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2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2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2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2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 Accent 1"/>
    <w:basedOn w:val="72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2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2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2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 Accent 1"/>
    <w:basedOn w:val="72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2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2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2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2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2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2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2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2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2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2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2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2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2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2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2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2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2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2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2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2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2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2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2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2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 Accent 1"/>
    <w:basedOn w:val="72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2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2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2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2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2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 Accent 1"/>
    <w:basedOn w:val="72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2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2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2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2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2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character" w:styleId="165">
    <w:name w:val="Intense Emphasis"/>
    <w:basedOn w:val="728"/>
    <w:uiPriority w:val="21"/>
    <w:qFormat/>
    <w:pPr>
      <w:pBdr/>
      <w:spacing/>
      <w:ind/>
    </w:pPr>
    <w:rPr>
      <w:i/>
      <w:iCs/>
      <w:color w:val="0f4761" w:themeColor="accent1" w:themeShade="BF"/>
    </w:rPr>
  </w:style>
  <w:style w:type="character" w:styleId="168">
    <w:name w:val="Intense Reference"/>
    <w:basedOn w:val="728"/>
    <w:uiPriority w:val="32"/>
    <w:qFormat/>
    <w:pPr>
      <w:pBdr/>
      <w:spacing/>
      <w:ind/>
    </w:pPr>
    <w:rPr>
      <w:b/>
      <w:bCs/>
      <w:smallCaps/>
      <w:color w:val="0f4761" w:themeColor="accent1" w:themeShade="BF"/>
      <w:spacing w:val="5"/>
    </w:rPr>
  </w:style>
  <w:style w:type="character" w:styleId="170">
    <w:name w:val="Subtle Emphasis"/>
    <w:basedOn w:val="728"/>
    <w:uiPriority w:val="19"/>
    <w:qFormat/>
    <w:pPr>
      <w:pBdr/>
      <w:spacing/>
      <w:ind/>
    </w:pPr>
    <w:rPr>
      <w:i/>
      <w:iCs/>
      <w:color w:val="404040" w:themeColor="text1" w:themeTint="BF"/>
    </w:rPr>
  </w:style>
  <w:style w:type="character" w:styleId="171">
    <w:name w:val="Emphasis"/>
    <w:basedOn w:val="728"/>
    <w:uiPriority w:val="20"/>
    <w:qFormat/>
    <w:pPr>
      <w:pBdr/>
      <w:spacing/>
      <w:ind/>
    </w:pPr>
    <w:rPr>
      <w:i/>
      <w:iCs/>
    </w:rPr>
  </w:style>
  <w:style w:type="character" w:styleId="172">
    <w:name w:val="Strong"/>
    <w:basedOn w:val="728"/>
    <w:uiPriority w:val="22"/>
    <w:qFormat/>
    <w:pPr>
      <w:pBdr/>
      <w:spacing/>
      <w:ind/>
    </w:pPr>
    <w:rPr>
      <w:b/>
      <w:bCs/>
    </w:rPr>
  </w:style>
  <w:style w:type="character" w:styleId="173">
    <w:name w:val="Subtle Reference"/>
    <w:basedOn w:val="728"/>
    <w:uiPriority w:val="31"/>
    <w:qFormat/>
    <w:pPr>
      <w:pBdr/>
      <w:spacing/>
      <w:ind/>
    </w:pPr>
    <w:rPr>
      <w:smallCaps/>
      <w:color w:val="5a5a5a" w:themeColor="text1" w:themeTint="A5"/>
    </w:rPr>
  </w:style>
  <w:style w:type="character" w:styleId="174">
    <w:name w:val="Book Title"/>
    <w:basedOn w:val="728"/>
    <w:uiPriority w:val="33"/>
    <w:qFormat/>
    <w:pPr>
      <w:pBdr/>
      <w:spacing/>
      <w:ind/>
    </w:pPr>
    <w:rPr>
      <w:b/>
      <w:bCs/>
      <w:i/>
      <w:iCs/>
      <w:spacing w:val="5"/>
    </w:rPr>
  </w:style>
  <w:style w:type="character" w:styleId="187">
    <w:name w:val="FollowedHyperlink"/>
    <w:basedOn w:val="728"/>
    <w:uiPriority w:val="99"/>
    <w:semiHidden/>
    <w:unhideWhenUsed/>
    <w:pPr>
      <w:pBdr/>
      <w:spacing/>
      <w:ind/>
    </w:pPr>
    <w:rPr>
      <w:color w:val="954f72" w:themeColor="followedHyperlink"/>
      <w:u w:val="single"/>
    </w:rPr>
  </w:style>
  <w:style w:type="paragraph" w:styleId="718" w:default="1">
    <w:name w:val="Normal"/>
    <w:qFormat/>
    <w:pPr>
      <w:pBdr/>
      <w:spacing w:after="0" w:line="240" w:lineRule="auto"/>
      <w:ind/>
    </w:pPr>
    <w:rPr>
      <w:rFonts w:ascii="Times New Roman" w:hAnsi="Times New Roman" w:eastAsia="Times New Roman" w:cs="Times New Roman"/>
      <w:sz w:val="28"/>
      <w:szCs w:val="28"/>
    </w:rPr>
  </w:style>
  <w:style w:type="paragraph" w:styleId="719">
    <w:name w:val="Heading 1"/>
    <w:basedOn w:val="718"/>
    <w:next w:val="718"/>
    <w:link w:val="731"/>
    <w:uiPriority w:val="9"/>
    <w:qFormat/>
    <w:pPr>
      <w:keepNext w:val="true"/>
      <w:keepLines w:val="true"/>
      <w:pBdr/>
      <w:spacing w:after="200" w:before="480"/>
      <w:ind/>
      <w:outlineLvl w:val="0"/>
    </w:pPr>
    <w:rPr>
      <w:rFonts w:ascii="Arial" w:hAnsi="Arial" w:eastAsia="Arial" w:cs="Arial"/>
      <w:sz w:val="40"/>
      <w:szCs w:val="40"/>
    </w:rPr>
  </w:style>
  <w:style w:type="paragraph" w:styleId="720">
    <w:name w:val="Heading 2"/>
    <w:basedOn w:val="718"/>
    <w:next w:val="718"/>
    <w:link w:val="732"/>
    <w:uiPriority w:val="9"/>
    <w:unhideWhenUsed/>
    <w:qFormat/>
    <w:pPr>
      <w:keepNext w:val="true"/>
      <w:keepLines w:val="true"/>
      <w:pBdr/>
      <w:spacing w:after="200" w:before="360"/>
      <w:ind/>
      <w:outlineLvl w:val="1"/>
    </w:pPr>
    <w:rPr>
      <w:rFonts w:ascii="Arial" w:hAnsi="Arial" w:eastAsia="Arial" w:cs="Arial"/>
      <w:sz w:val="34"/>
    </w:rPr>
  </w:style>
  <w:style w:type="paragraph" w:styleId="721">
    <w:name w:val="Heading 3"/>
    <w:basedOn w:val="718"/>
    <w:next w:val="718"/>
    <w:link w:val="733"/>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22">
    <w:name w:val="Heading 4"/>
    <w:basedOn w:val="718"/>
    <w:next w:val="718"/>
    <w:link w:val="734"/>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23">
    <w:name w:val="Heading 5"/>
    <w:basedOn w:val="718"/>
    <w:next w:val="718"/>
    <w:link w:val="735"/>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24">
    <w:name w:val="Heading 6"/>
    <w:basedOn w:val="718"/>
    <w:next w:val="718"/>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25">
    <w:name w:val="Heading 7"/>
    <w:basedOn w:val="718"/>
    <w:next w:val="718"/>
    <w:link w:val="737"/>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26">
    <w:name w:val="Heading 8"/>
    <w:basedOn w:val="718"/>
    <w:next w:val="718"/>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27">
    <w:name w:val="Heading 9"/>
    <w:basedOn w:val="718"/>
    <w:next w:val="718"/>
    <w:link w:val="73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8" w:default="1">
    <w:name w:val="Default Paragraph Font"/>
    <w:uiPriority w:val="1"/>
    <w:semiHidden/>
    <w:unhideWhenUsed/>
    <w:pPr>
      <w:pBdr/>
      <w:spacing/>
      <w:ind/>
    </w:pPr>
  </w:style>
  <w:style w:type="table" w:styleId="72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0" w:default="1">
    <w:name w:val="No List"/>
    <w:uiPriority w:val="99"/>
    <w:semiHidden/>
    <w:unhideWhenUsed/>
    <w:pPr>
      <w:pBdr/>
      <w:spacing/>
      <w:ind/>
    </w:pPr>
  </w:style>
  <w:style w:type="character" w:styleId="731" w:customStyle="1">
    <w:name w:val="Heading 1 Char"/>
    <w:basedOn w:val="728"/>
    <w:link w:val="719"/>
    <w:uiPriority w:val="9"/>
    <w:pPr>
      <w:pBdr/>
      <w:spacing/>
      <w:ind/>
    </w:pPr>
    <w:rPr>
      <w:rFonts w:ascii="Arial" w:hAnsi="Arial" w:eastAsia="Arial" w:cs="Arial"/>
      <w:sz w:val="40"/>
      <w:szCs w:val="40"/>
    </w:rPr>
  </w:style>
  <w:style w:type="character" w:styleId="732" w:customStyle="1">
    <w:name w:val="Heading 2 Char"/>
    <w:basedOn w:val="728"/>
    <w:link w:val="720"/>
    <w:uiPriority w:val="9"/>
    <w:pPr>
      <w:pBdr/>
      <w:spacing/>
      <w:ind/>
    </w:pPr>
    <w:rPr>
      <w:rFonts w:ascii="Arial" w:hAnsi="Arial" w:eastAsia="Arial" w:cs="Arial"/>
      <w:sz w:val="34"/>
    </w:rPr>
  </w:style>
  <w:style w:type="character" w:styleId="733" w:customStyle="1">
    <w:name w:val="Heading 3 Char"/>
    <w:basedOn w:val="728"/>
    <w:link w:val="721"/>
    <w:uiPriority w:val="9"/>
    <w:pPr>
      <w:pBdr/>
      <w:spacing/>
      <w:ind/>
    </w:pPr>
    <w:rPr>
      <w:rFonts w:ascii="Arial" w:hAnsi="Arial" w:eastAsia="Arial" w:cs="Arial"/>
      <w:sz w:val="30"/>
      <w:szCs w:val="30"/>
    </w:rPr>
  </w:style>
  <w:style w:type="character" w:styleId="734" w:customStyle="1">
    <w:name w:val="Heading 4 Char"/>
    <w:basedOn w:val="728"/>
    <w:link w:val="722"/>
    <w:uiPriority w:val="9"/>
    <w:pPr>
      <w:pBdr/>
      <w:spacing/>
      <w:ind/>
    </w:pPr>
    <w:rPr>
      <w:rFonts w:ascii="Arial" w:hAnsi="Arial" w:eastAsia="Arial" w:cs="Arial"/>
      <w:b/>
      <w:bCs/>
      <w:sz w:val="26"/>
      <w:szCs w:val="26"/>
    </w:rPr>
  </w:style>
  <w:style w:type="character" w:styleId="735" w:customStyle="1">
    <w:name w:val="Heading 5 Char"/>
    <w:basedOn w:val="728"/>
    <w:link w:val="723"/>
    <w:uiPriority w:val="9"/>
    <w:pPr>
      <w:pBdr/>
      <w:spacing/>
      <w:ind/>
    </w:pPr>
    <w:rPr>
      <w:rFonts w:ascii="Arial" w:hAnsi="Arial" w:eastAsia="Arial" w:cs="Arial"/>
      <w:b/>
      <w:bCs/>
      <w:sz w:val="24"/>
      <w:szCs w:val="24"/>
    </w:rPr>
  </w:style>
  <w:style w:type="character" w:styleId="736" w:customStyle="1">
    <w:name w:val="Heading 6 Char"/>
    <w:basedOn w:val="728"/>
    <w:link w:val="724"/>
    <w:uiPriority w:val="9"/>
    <w:pPr>
      <w:pBdr/>
      <w:spacing/>
      <w:ind/>
    </w:pPr>
    <w:rPr>
      <w:rFonts w:ascii="Arial" w:hAnsi="Arial" w:eastAsia="Arial" w:cs="Arial"/>
      <w:b/>
      <w:bCs/>
      <w:sz w:val="22"/>
      <w:szCs w:val="22"/>
    </w:rPr>
  </w:style>
  <w:style w:type="character" w:styleId="737" w:customStyle="1">
    <w:name w:val="Heading 7 Char"/>
    <w:basedOn w:val="728"/>
    <w:link w:val="725"/>
    <w:uiPriority w:val="9"/>
    <w:pPr>
      <w:pBdr/>
      <w:spacing/>
      <w:ind/>
    </w:pPr>
    <w:rPr>
      <w:rFonts w:ascii="Arial" w:hAnsi="Arial" w:eastAsia="Arial" w:cs="Arial"/>
      <w:b/>
      <w:bCs/>
      <w:i/>
      <w:iCs/>
      <w:sz w:val="22"/>
      <w:szCs w:val="22"/>
    </w:rPr>
  </w:style>
  <w:style w:type="character" w:styleId="738" w:customStyle="1">
    <w:name w:val="Heading 8 Char"/>
    <w:basedOn w:val="728"/>
    <w:link w:val="726"/>
    <w:uiPriority w:val="9"/>
    <w:pPr>
      <w:pBdr/>
      <w:spacing/>
      <w:ind/>
    </w:pPr>
    <w:rPr>
      <w:rFonts w:ascii="Arial" w:hAnsi="Arial" w:eastAsia="Arial" w:cs="Arial"/>
      <w:i/>
      <w:iCs/>
      <w:sz w:val="22"/>
      <w:szCs w:val="22"/>
    </w:rPr>
  </w:style>
  <w:style w:type="character" w:styleId="739" w:customStyle="1">
    <w:name w:val="Heading 9 Char"/>
    <w:basedOn w:val="728"/>
    <w:link w:val="727"/>
    <w:uiPriority w:val="9"/>
    <w:pPr>
      <w:pBdr/>
      <w:spacing/>
      <w:ind/>
    </w:pPr>
    <w:rPr>
      <w:rFonts w:ascii="Arial" w:hAnsi="Arial" w:eastAsia="Arial" w:cs="Arial"/>
      <w:i/>
      <w:iCs/>
      <w:sz w:val="21"/>
      <w:szCs w:val="21"/>
    </w:rPr>
  </w:style>
  <w:style w:type="paragraph" w:styleId="740">
    <w:name w:val="No Spacing"/>
    <w:uiPriority w:val="1"/>
    <w:qFormat/>
    <w:pPr>
      <w:pBdr/>
      <w:spacing w:after="0" w:line="240" w:lineRule="auto"/>
      <w:ind/>
    </w:pPr>
  </w:style>
  <w:style w:type="paragraph" w:styleId="741">
    <w:name w:val="Title"/>
    <w:basedOn w:val="718"/>
    <w:next w:val="718"/>
    <w:link w:val="742"/>
    <w:uiPriority w:val="10"/>
    <w:qFormat/>
    <w:pPr>
      <w:pBdr/>
      <w:spacing w:after="200" w:before="300"/>
      <w:ind/>
      <w:contextualSpacing w:val="true"/>
    </w:pPr>
    <w:rPr>
      <w:sz w:val="48"/>
      <w:szCs w:val="48"/>
    </w:rPr>
  </w:style>
  <w:style w:type="character" w:styleId="742" w:customStyle="1">
    <w:name w:val="Title Char"/>
    <w:basedOn w:val="728"/>
    <w:link w:val="741"/>
    <w:uiPriority w:val="10"/>
    <w:pPr>
      <w:pBdr/>
      <w:spacing/>
      <w:ind/>
    </w:pPr>
    <w:rPr>
      <w:sz w:val="48"/>
      <w:szCs w:val="48"/>
    </w:rPr>
  </w:style>
  <w:style w:type="paragraph" w:styleId="743">
    <w:name w:val="Subtitle"/>
    <w:basedOn w:val="718"/>
    <w:next w:val="718"/>
    <w:link w:val="744"/>
    <w:uiPriority w:val="11"/>
    <w:qFormat/>
    <w:pPr>
      <w:pBdr/>
      <w:spacing w:after="200" w:before="200"/>
      <w:ind/>
    </w:pPr>
    <w:rPr>
      <w:sz w:val="24"/>
      <w:szCs w:val="24"/>
    </w:rPr>
  </w:style>
  <w:style w:type="character" w:styleId="744" w:customStyle="1">
    <w:name w:val="Subtitle Char"/>
    <w:basedOn w:val="728"/>
    <w:link w:val="743"/>
    <w:uiPriority w:val="11"/>
    <w:pPr>
      <w:pBdr/>
      <w:spacing/>
      <w:ind/>
    </w:pPr>
    <w:rPr>
      <w:sz w:val="24"/>
      <w:szCs w:val="24"/>
    </w:rPr>
  </w:style>
  <w:style w:type="paragraph" w:styleId="745">
    <w:name w:val="Quote"/>
    <w:basedOn w:val="718"/>
    <w:next w:val="718"/>
    <w:link w:val="746"/>
    <w:uiPriority w:val="29"/>
    <w:qFormat/>
    <w:pPr>
      <w:pBdr/>
      <w:spacing/>
      <w:ind w:right="720" w:left="720"/>
    </w:pPr>
    <w:rPr>
      <w:i/>
    </w:rPr>
  </w:style>
  <w:style w:type="character" w:styleId="746" w:customStyle="1">
    <w:name w:val="Quote Char"/>
    <w:link w:val="745"/>
    <w:uiPriority w:val="29"/>
    <w:pPr>
      <w:pBdr/>
      <w:spacing/>
      <w:ind/>
    </w:pPr>
    <w:rPr>
      <w:i/>
    </w:rPr>
  </w:style>
  <w:style w:type="paragraph" w:styleId="747">
    <w:name w:val="Intense Quote"/>
    <w:basedOn w:val="718"/>
    <w:next w:val="718"/>
    <w:link w:val="74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48" w:customStyle="1">
    <w:name w:val="Intense Quote Char"/>
    <w:link w:val="747"/>
    <w:uiPriority w:val="30"/>
    <w:pPr>
      <w:pBdr/>
      <w:spacing/>
      <w:ind/>
    </w:pPr>
    <w:rPr>
      <w:i/>
    </w:rPr>
  </w:style>
  <w:style w:type="paragraph" w:styleId="749">
    <w:name w:val="Caption"/>
    <w:basedOn w:val="718"/>
    <w:next w:val="718"/>
    <w:uiPriority w:val="35"/>
    <w:semiHidden/>
    <w:unhideWhenUsed/>
    <w:qFormat/>
    <w:pPr>
      <w:pBdr/>
      <w:spacing w:line="276" w:lineRule="auto"/>
      <w:ind/>
    </w:pPr>
    <w:rPr>
      <w:b/>
      <w:bCs/>
      <w:color w:val="5b9bd5" w:themeColor="accent1"/>
      <w:sz w:val="18"/>
      <w:szCs w:val="18"/>
    </w:rPr>
  </w:style>
  <w:style w:type="character" w:styleId="750" w:customStyle="1">
    <w:name w:val="Caption Char"/>
    <w:uiPriority w:val="99"/>
    <w:pPr>
      <w:pBdr/>
      <w:spacing/>
      <w:ind/>
    </w:pPr>
  </w:style>
  <w:style w:type="table" w:styleId="751">
    <w:name w:val="Grid Table Light"/>
    <w:basedOn w:val="72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1"/>
    <w:basedOn w:val="72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2"/>
    <w:basedOn w:val="72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3"/>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4"/>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5"/>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w:basedOn w:val="72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Accent 1"/>
    <w:basedOn w:val="729"/>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Accent 2"/>
    <w:basedOn w:val="72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Accent 3"/>
    <w:basedOn w:val="72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Accent 4"/>
    <w:basedOn w:val="72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Accent 5"/>
    <w:basedOn w:val="729"/>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Accent 6"/>
    <w:basedOn w:val="72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w:basedOn w:val="72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Accent 1"/>
    <w:basedOn w:val="729"/>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Accent 2"/>
    <w:basedOn w:val="72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Accent 3"/>
    <w:basedOn w:val="72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Accent 4"/>
    <w:basedOn w:val="72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Accent 5"/>
    <w:basedOn w:val="729"/>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Accent 6"/>
    <w:basedOn w:val="72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w:basedOn w:val="72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Accent 1"/>
    <w:basedOn w:val="729"/>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Accent 2"/>
    <w:basedOn w:val="72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Accent 3"/>
    <w:basedOn w:val="72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Accent 4"/>
    <w:basedOn w:val="72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Accent 5"/>
    <w:basedOn w:val="729"/>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Accent 6"/>
    <w:basedOn w:val="72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w:basedOn w:val="72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Accent 1"/>
    <w:basedOn w:val="729"/>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Accent 2"/>
    <w:basedOn w:val="729"/>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Accent 3"/>
    <w:basedOn w:val="729"/>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Accent 4"/>
    <w:basedOn w:val="729"/>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Accent 5"/>
    <w:basedOn w:val="729"/>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Accent 6"/>
    <w:basedOn w:val="729"/>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5 Dark- Accent 1"/>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Accent 2"/>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3"/>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5 Dark- Accent 4"/>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Accent 5"/>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6"/>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w:basedOn w:val="72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6 Colorful Accent 1"/>
    <w:basedOn w:val="729"/>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Accent 2"/>
    <w:basedOn w:val="72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6 Colorful Accent 3"/>
    <w:basedOn w:val="729"/>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6 Colorful Accent 4"/>
    <w:basedOn w:val="72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6 Colorful Accent 5"/>
    <w:basedOn w:val="729"/>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6 Colorful Accent 6"/>
    <w:basedOn w:val="729"/>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w:basedOn w:val="72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Accent 1"/>
    <w:basedOn w:val="729"/>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Accent 2"/>
    <w:basedOn w:val="729"/>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Accent 3"/>
    <w:basedOn w:val="729"/>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Accent 4"/>
    <w:basedOn w:val="729"/>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Accent 5"/>
    <w:basedOn w:val="729"/>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Accent 6"/>
    <w:basedOn w:val="729"/>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Accent 1"/>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Accent 2"/>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Accent 3"/>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Accent 4"/>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Accent 5"/>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Accent 6"/>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w:basedOn w:val="72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Accent 1"/>
    <w:basedOn w:val="729"/>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Accent 2"/>
    <w:basedOn w:val="729"/>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Accent 3"/>
    <w:basedOn w:val="729"/>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Accent 4"/>
    <w:basedOn w:val="729"/>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Accent 5"/>
    <w:basedOn w:val="729"/>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Accent 6"/>
    <w:basedOn w:val="729"/>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w:basedOn w:val="72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Accent 1"/>
    <w:basedOn w:val="729"/>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Accent 2"/>
    <w:basedOn w:val="72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Accent 3"/>
    <w:basedOn w:val="729"/>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Accent 4"/>
    <w:basedOn w:val="72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Accent 5"/>
    <w:basedOn w:val="729"/>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Accent 6"/>
    <w:basedOn w:val="729"/>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w:basedOn w:val="72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Accent 1"/>
    <w:basedOn w:val="729"/>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Accent 2"/>
    <w:basedOn w:val="729"/>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Accent 3"/>
    <w:basedOn w:val="729"/>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Accent 4"/>
    <w:basedOn w:val="729"/>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Accent 5"/>
    <w:basedOn w:val="729"/>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Accent 6"/>
    <w:basedOn w:val="729"/>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w:basedOn w:val="72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5 Dark Accent 1"/>
    <w:basedOn w:val="729"/>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Accent 2"/>
    <w:basedOn w:val="729"/>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5 Dark Accent 3"/>
    <w:basedOn w:val="729"/>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5 Dark Accent 4"/>
    <w:basedOn w:val="729"/>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5 Dark Accent 5"/>
    <w:basedOn w:val="729"/>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5 Dark Accent 6"/>
    <w:basedOn w:val="729"/>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w:basedOn w:val="72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Accent 1"/>
    <w:basedOn w:val="729"/>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Accent 2"/>
    <w:basedOn w:val="729"/>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Accent 3"/>
    <w:basedOn w:val="729"/>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Accent 4"/>
    <w:basedOn w:val="729"/>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Accent 5"/>
    <w:basedOn w:val="729"/>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Accent 6"/>
    <w:basedOn w:val="729"/>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w:basedOn w:val="72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7 Colorful Accent 1"/>
    <w:basedOn w:val="729"/>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Accent 2"/>
    <w:basedOn w:val="729"/>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7 Colorful Accent 3"/>
    <w:basedOn w:val="729"/>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7 Colorful Accent 4"/>
    <w:basedOn w:val="729"/>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7 Colorful Accent 5"/>
    <w:basedOn w:val="729"/>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7 Colorful Accent 6"/>
    <w:basedOn w:val="729"/>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ned - Accent"/>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ned - Accent 1"/>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ned - Accent 2"/>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ned - Accent 3"/>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ned - Accent 4"/>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ned - Accent 5"/>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ned - Accent 6"/>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amp; Lined - Accent"/>
    <w:basedOn w:val="729"/>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amp; Lined - Accent 1"/>
    <w:basedOn w:val="729"/>
    <w:uiPriority w:val="99"/>
    <w:pPr>
      <w:pBdr/>
      <w:spacing w:after="0" w:line="240" w:lineRule="auto"/>
      <w:ind/>
    </w:pPr>
    <w:rPr>
      <w:color w:val="404040"/>
      <w:sz w:val="2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amp; Lined - Accent 2"/>
    <w:basedOn w:val="729"/>
    <w:uiPriority w:val="99"/>
    <w:pPr>
      <w:pBdr/>
      <w:spacing w:after="0" w:line="240" w:lineRule="auto"/>
      <w:ind/>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amp; Lined - Accent 3"/>
    <w:basedOn w:val="729"/>
    <w:uiPriority w:val="99"/>
    <w:pPr>
      <w:pBdr/>
      <w:spacing w:after="0" w:line="240" w:lineRule="auto"/>
      <w:ind/>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Bordered &amp; Lined - Accent 4"/>
    <w:basedOn w:val="729"/>
    <w:uiPriority w:val="99"/>
    <w:pPr>
      <w:pBdr/>
      <w:spacing w:after="0" w:line="240" w:lineRule="auto"/>
      <w:ind/>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amp; Lined - Accent 5"/>
    <w:basedOn w:val="729"/>
    <w:uiPriority w:val="99"/>
    <w:pPr>
      <w:pBdr/>
      <w:spacing w:after="0" w:line="240" w:lineRule="auto"/>
      <w:ind/>
    </w:pPr>
    <w:rPr>
      <w:color w:val="404040"/>
      <w:sz w:val="2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amp; Lined - Accent 6"/>
    <w:basedOn w:val="729"/>
    <w:uiPriority w:val="99"/>
    <w:pPr>
      <w:pBdr/>
      <w:spacing w:after="0" w:line="240" w:lineRule="auto"/>
      <w:ind/>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w:basedOn w:val="72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 Accent 1"/>
    <w:basedOn w:val="729"/>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 Accent 2"/>
    <w:basedOn w:val="72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 Accent 3"/>
    <w:basedOn w:val="72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 Accent 4"/>
    <w:basedOn w:val="72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 Accent 5"/>
    <w:basedOn w:val="729"/>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 Accent 6"/>
    <w:basedOn w:val="72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6">
    <w:name w:val="Hyperlink"/>
    <w:uiPriority w:val="99"/>
    <w:unhideWhenUsed/>
    <w:pPr>
      <w:pBdr/>
      <w:spacing/>
      <w:ind/>
    </w:pPr>
    <w:rPr>
      <w:color w:val="0563c1" w:themeColor="hyperlink"/>
      <w:u w:val="single"/>
    </w:rPr>
  </w:style>
  <w:style w:type="paragraph" w:styleId="877">
    <w:name w:val="footnote text"/>
    <w:basedOn w:val="718"/>
    <w:link w:val="878"/>
    <w:uiPriority w:val="99"/>
    <w:semiHidden/>
    <w:unhideWhenUsed/>
    <w:pPr>
      <w:pBdr/>
      <w:spacing w:after="40"/>
      <w:ind/>
    </w:pPr>
    <w:rPr>
      <w:sz w:val="18"/>
    </w:rPr>
  </w:style>
  <w:style w:type="character" w:styleId="878" w:customStyle="1">
    <w:name w:val="Footnote Text Char"/>
    <w:link w:val="877"/>
    <w:uiPriority w:val="99"/>
    <w:pPr>
      <w:pBdr/>
      <w:spacing/>
      <w:ind/>
    </w:pPr>
    <w:rPr>
      <w:sz w:val="18"/>
    </w:rPr>
  </w:style>
  <w:style w:type="character" w:styleId="879">
    <w:name w:val="footnote reference"/>
    <w:basedOn w:val="728"/>
    <w:uiPriority w:val="99"/>
    <w:unhideWhenUsed/>
    <w:pPr>
      <w:pBdr/>
      <w:spacing/>
      <w:ind/>
    </w:pPr>
    <w:rPr>
      <w:vertAlign w:val="superscript"/>
    </w:rPr>
  </w:style>
  <w:style w:type="paragraph" w:styleId="880">
    <w:name w:val="endnote text"/>
    <w:basedOn w:val="718"/>
    <w:link w:val="881"/>
    <w:uiPriority w:val="99"/>
    <w:semiHidden/>
    <w:unhideWhenUsed/>
    <w:pPr>
      <w:pBdr/>
      <w:spacing/>
      <w:ind/>
    </w:pPr>
    <w:rPr>
      <w:sz w:val="20"/>
    </w:rPr>
  </w:style>
  <w:style w:type="character" w:styleId="881" w:customStyle="1">
    <w:name w:val="Endnote Text Char"/>
    <w:link w:val="880"/>
    <w:uiPriority w:val="99"/>
    <w:pPr>
      <w:pBdr/>
      <w:spacing/>
      <w:ind/>
    </w:pPr>
    <w:rPr>
      <w:sz w:val="20"/>
    </w:rPr>
  </w:style>
  <w:style w:type="character" w:styleId="882">
    <w:name w:val="endnote reference"/>
    <w:basedOn w:val="728"/>
    <w:uiPriority w:val="99"/>
    <w:semiHidden/>
    <w:unhideWhenUsed/>
    <w:pPr>
      <w:pBdr/>
      <w:spacing/>
      <w:ind/>
    </w:pPr>
    <w:rPr>
      <w:vertAlign w:val="superscript"/>
    </w:rPr>
  </w:style>
  <w:style w:type="paragraph" w:styleId="883">
    <w:name w:val="toc 1"/>
    <w:basedOn w:val="718"/>
    <w:next w:val="718"/>
    <w:uiPriority w:val="39"/>
    <w:unhideWhenUsed/>
    <w:pPr>
      <w:pBdr/>
      <w:spacing w:after="57"/>
      <w:ind/>
    </w:pPr>
  </w:style>
  <w:style w:type="paragraph" w:styleId="884">
    <w:name w:val="toc 2"/>
    <w:basedOn w:val="718"/>
    <w:next w:val="718"/>
    <w:uiPriority w:val="39"/>
    <w:unhideWhenUsed/>
    <w:pPr>
      <w:pBdr/>
      <w:spacing w:after="57"/>
      <w:ind w:left="283"/>
    </w:pPr>
  </w:style>
  <w:style w:type="paragraph" w:styleId="885">
    <w:name w:val="toc 3"/>
    <w:basedOn w:val="718"/>
    <w:next w:val="718"/>
    <w:uiPriority w:val="39"/>
    <w:unhideWhenUsed/>
    <w:pPr>
      <w:pBdr/>
      <w:spacing w:after="57"/>
      <w:ind w:left="567"/>
    </w:pPr>
  </w:style>
  <w:style w:type="paragraph" w:styleId="886">
    <w:name w:val="toc 4"/>
    <w:basedOn w:val="718"/>
    <w:next w:val="718"/>
    <w:uiPriority w:val="39"/>
    <w:unhideWhenUsed/>
    <w:pPr>
      <w:pBdr/>
      <w:spacing w:after="57"/>
      <w:ind w:left="850"/>
    </w:pPr>
  </w:style>
  <w:style w:type="paragraph" w:styleId="887">
    <w:name w:val="toc 5"/>
    <w:basedOn w:val="718"/>
    <w:next w:val="718"/>
    <w:uiPriority w:val="39"/>
    <w:unhideWhenUsed/>
    <w:pPr>
      <w:pBdr/>
      <w:spacing w:after="57"/>
      <w:ind w:left="1134"/>
    </w:pPr>
  </w:style>
  <w:style w:type="paragraph" w:styleId="888">
    <w:name w:val="toc 6"/>
    <w:basedOn w:val="718"/>
    <w:next w:val="718"/>
    <w:uiPriority w:val="39"/>
    <w:unhideWhenUsed/>
    <w:pPr>
      <w:pBdr/>
      <w:spacing w:after="57"/>
      <w:ind w:left="1417"/>
    </w:pPr>
  </w:style>
  <w:style w:type="paragraph" w:styleId="889">
    <w:name w:val="toc 7"/>
    <w:basedOn w:val="718"/>
    <w:next w:val="718"/>
    <w:uiPriority w:val="39"/>
    <w:unhideWhenUsed/>
    <w:pPr>
      <w:pBdr/>
      <w:spacing w:after="57"/>
      <w:ind w:left="1701"/>
    </w:pPr>
  </w:style>
  <w:style w:type="paragraph" w:styleId="890">
    <w:name w:val="toc 8"/>
    <w:basedOn w:val="718"/>
    <w:next w:val="718"/>
    <w:uiPriority w:val="39"/>
    <w:unhideWhenUsed/>
    <w:pPr>
      <w:pBdr/>
      <w:spacing w:after="57"/>
      <w:ind w:left="1984"/>
    </w:pPr>
  </w:style>
  <w:style w:type="paragraph" w:styleId="891">
    <w:name w:val="toc 9"/>
    <w:basedOn w:val="718"/>
    <w:next w:val="718"/>
    <w:uiPriority w:val="39"/>
    <w:unhideWhenUsed/>
    <w:pPr>
      <w:pBdr/>
      <w:spacing w:after="57"/>
      <w:ind w:left="2268"/>
    </w:pPr>
  </w:style>
  <w:style w:type="paragraph" w:styleId="892">
    <w:name w:val="TOC Heading"/>
    <w:uiPriority w:val="39"/>
    <w:unhideWhenUsed/>
    <w:pPr>
      <w:pBdr/>
      <w:spacing/>
      <w:ind/>
    </w:pPr>
  </w:style>
  <w:style w:type="paragraph" w:styleId="893">
    <w:name w:val="table of figures"/>
    <w:basedOn w:val="718"/>
    <w:next w:val="718"/>
    <w:uiPriority w:val="99"/>
    <w:unhideWhenUsed/>
    <w:pPr>
      <w:pBdr/>
      <w:spacing/>
      <w:ind/>
    </w:pPr>
  </w:style>
  <w:style w:type="paragraph" w:styleId="894" w:customStyle="1">
    <w:name w:val="Char4"/>
    <w:basedOn w:val="718"/>
    <w:semiHidden/>
    <w:pPr>
      <w:pBdr/>
      <w:spacing w:after="160" w:line="240" w:lineRule="exact"/>
      <w:ind/>
    </w:pPr>
    <w:rPr>
      <w:rFonts w:ascii="Arial" w:hAnsi="Arial" w:cs="Arial"/>
      <w:sz w:val="22"/>
      <w:szCs w:val="22"/>
    </w:rPr>
  </w:style>
  <w:style w:type="paragraph" w:styleId="895">
    <w:name w:val="Normal (Web)"/>
    <w:basedOn w:val="718"/>
    <w:uiPriority w:val="99"/>
    <w:semiHidden/>
    <w:unhideWhenUsed/>
    <w:pPr>
      <w:pBdr/>
      <w:spacing w:after="100" w:afterAutospacing="1" w:before="100" w:beforeAutospacing="1"/>
      <w:ind/>
    </w:pPr>
    <w:rPr>
      <w:sz w:val="24"/>
      <w:szCs w:val="24"/>
    </w:rPr>
  </w:style>
  <w:style w:type="paragraph" w:styleId="896">
    <w:name w:val="List Paragraph"/>
    <w:basedOn w:val="718"/>
    <w:uiPriority w:val="34"/>
    <w:qFormat/>
    <w:pPr>
      <w:pBdr/>
      <w:spacing/>
      <w:ind w:left="720"/>
      <w:contextualSpacing w:val="true"/>
    </w:pPr>
  </w:style>
  <w:style w:type="table" w:styleId="897">
    <w:name w:val="Table Grid"/>
    <w:basedOn w:val="729"/>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8">
    <w:name w:val="Header"/>
    <w:basedOn w:val="718"/>
    <w:link w:val="899"/>
    <w:uiPriority w:val="99"/>
    <w:unhideWhenUsed/>
    <w:pPr>
      <w:pBdr/>
      <w:tabs>
        <w:tab w:val="center" w:leader="none" w:pos="4320"/>
        <w:tab w:val="right" w:leader="none" w:pos="8640"/>
      </w:tabs>
      <w:spacing/>
      <w:ind/>
    </w:pPr>
  </w:style>
  <w:style w:type="character" w:styleId="899" w:customStyle="1">
    <w:name w:val="Header Char"/>
    <w:basedOn w:val="728"/>
    <w:link w:val="898"/>
    <w:uiPriority w:val="99"/>
    <w:pPr>
      <w:pBdr/>
      <w:spacing/>
      <w:ind/>
    </w:pPr>
    <w:rPr>
      <w:rFonts w:ascii="Times New Roman" w:hAnsi="Times New Roman" w:eastAsia="Times New Roman" w:cs="Times New Roman"/>
      <w:sz w:val="28"/>
      <w:szCs w:val="28"/>
    </w:rPr>
  </w:style>
  <w:style w:type="paragraph" w:styleId="900">
    <w:name w:val="Footer"/>
    <w:basedOn w:val="718"/>
    <w:link w:val="901"/>
    <w:uiPriority w:val="99"/>
    <w:unhideWhenUsed/>
    <w:pPr>
      <w:pBdr/>
      <w:tabs>
        <w:tab w:val="center" w:leader="none" w:pos="4320"/>
        <w:tab w:val="right" w:leader="none" w:pos="8640"/>
      </w:tabs>
      <w:spacing/>
      <w:ind/>
    </w:pPr>
  </w:style>
  <w:style w:type="character" w:styleId="901" w:customStyle="1">
    <w:name w:val="Footer Char"/>
    <w:basedOn w:val="728"/>
    <w:link w:val="900"/>
    <w:uiPriority w:val="99"/>
    <w:pPr>
      <w:pBdr/>
      <w:spacing/>
      <w:ind/>
    </w:pPr>
    <w:rPr>
      <w:rFonts w:ascii="Times New Roman" w:hAnsi="Times New Roman" w:eastAsia="Times New Roman" w:cs="Times New Roman"/>
      <w:sz w:val="28"/>
      <w:szCs w:val="28"/>
    </w:rPr>
  </w:style>
  <w:style w:type="paragraph" w:styleId="902">
    <w:name w:val="Balloon Text"/>
    <w:basedOn w:val="718"/>
    <w:link w:val="903"/>
    <w:uiPriority w:val="99"/>
    <w:semiHidden/>
    <w:unhideWhenUsed/>
    <w:pPr>
      <w:pBdr/>
      <w:spacing/>
      <w:ind/>
    </w:pPr>
    <w:rPr>
      <w:rFonts w:ascii="Segoe UI" w:hAnsi="Segoe UI" w:cs="Segoe UI"/>
      <w:sz w:val="18"/>
      <w:szCs w:val="18"/>
    </w:rPr>
  </w:style>
  <w:style w:type="character" w:styleId="903" w:customStyle="1">
    <w:name w:val="Balloon Text Char"/>
    <w:basedOn w:val="728"/>
    <w:link w:val="902"/>
    <w:uiPriority w:val="99"/>
    <w:semiHidden/>
    <w:pPr>
      <w:pBdr/>
      <w:spacing/>
      <w:ind/>
    </w:pPr>
    <w:rPr>
      <w:rFonts w:ascii="Segoe UI" w:hAnsi="Segoe UI" w:eastAsia="Times New Roman" w:cs="Segoe UI"/>
      <w:sz w:val="18"/>
      <w:szCs w:val="18"/>
    </w:rPr>
  </w:style>
  <w:style w:type="character" w:styleId="904" w:customStyle="1">
    <w:name w:val="citation-172"/>
    <w:basedOn w:val="728"/>
    <w:pPr>
      <w:pBdr/>
      <w:spacing/>
      <w:ind/>
    </w:pPr>
  </w:style>
  <w:style w:type="character" w:styleId="905" w:customStyle="1">
    <w:name w:val="citation-171"/>
    <w:basedOn w:val="728"/>
    <w:pPr>
      <w:pBdr/>
      <w:spacing/>
      <w:ind/>
    </w:pPr>
  </w:style>
  <w:style w:type="character" w:styleId="906" w:customStyle="1">
    <w:name w:val="citation-170"/>
    <w:basedOn w:val="728"/>
    <w:pPr>
      <w:pBdr/>
      <w:spacing/>
      <w:ind/>
    </w:pPr>
  </w:style>
  <w:style w:type="character" w:styleId="907" w:customStyle="1">
    <w:name w:val="citation-169"/>
    <w:basedOn w:val="728"/>
    <w:pPr>
      <w:pBdr/>
      <w:spacing/>
      <w:ind/>
    </w:pPr>
  </w:style>
  <w:style w:type="character" w:styleId="908" w:customStyle="1">
    <w:name w:val="citation-168"/>
    <w:basedOn w:val="728"/>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ONLYOFFICE/8.3.3.19</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Phan Thành Đông</cp:lastModifiedBy>
  <cp:revision>6</cp:revision>
  <dcterms:created xsi:type="dcterms:W3CDTF">2026-04-29T02:19:00Z</dcterms:created>
  <dcterms:modified xsi:type="dcterms:W3CDTF">2026-04-29T09:40:09Z</dcterms:modified>
</cp:coreProperties>
</file>